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D25C" w14:textId="77777777" w:rsidR="006B19DC" w:rsidRPr="00E707BB" w:rsidRDefault="006B19DC" w:rsidP="0089295A">
      <w:pPr>
        <w:spacing w:after="0" w:line="310" w:lineRule="exact"/>
        <w:jc w:val="center"/>
        <w:rPr>
          <w:rFonts w:cs="Times New Roman"/>
          <w:b/>
          <w:szCs w:val="28"/>
          <w:lang w:val="uk-UA"/>
        </w:rPr>
      </w:pPr>
      <w:bookmarkStart w:id="0" w:name="_GoBack"/>
      <w:bookmarkEnd w:id="0"/>
      <w:r w:rsidRPr="00E707BB">
        <w:rPr>
          <w:rFonts w:cs="Times New Roman"/>
          <w:b/>
          <w:szCs w:val="28"/>
          <w:lang w:val="uk-UA"/>
        </w:rPr>
        <w:t>3BIT</w:t>
      </w:r>
    </w:p>
    <w:p w14:paraId="0481F752" w14:textId="77777777" w:rsidR="000767A9" w:rsidRPr="00E707BB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E707BB">
        <w:rPr>
          <w:rFonts w:cs="Times New Roman"/>
          <w:b/>
          <w:spacing w:val="-4"/>
          <w:szCs w:val="28"/>
          <w:lang w:val="uk-UA"/>
        </w:rPr>
        <w:t xml:space="preserve">про базове відстеження результативності </w:t>
      </w:r>
    </w:p>
    <w:p w14:paraId="58D02391" w14:textId="76C87D46" w:rsidR="00CA5763" w:rsidRPr="00E707BB" w:rsidRDefault="00E1302F" w:rsidP="000767A9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E707BB">
        <w:rPr>
          <w:rFonts w:cs="Times New Roman"/>
          <w:b/>
          <w:bCs/>
          <w:szCs w:val="28"/>
          <w:lang w:val="uk-UA"/>
        </w:rPr>
        <w:t xml:space="preserve">Постанови Кабінету Міністрів України від </w:t>
      </w:r>
      <w:r w:rsidR="00DB1E5F" w:rsidRPr="00E707BB">
        <w:rPr>
          <w:rFonts w:cs="Times New Roman"/>
          <w:b/>
          <w:bCs/>
          <w:szCs w:val="28"/>
          <w:lang w:val="uk-UA"/>
        </w:rPr>
        <w:t>11</w:t>
      </w:r>
      <w:r w:rsidRPr="00E707BB">
        <w:rPr>
          <w:rFonts w:cs="Times New Roman"/>
          <w:b/>
          <w:bCs/>
          <w:szCs w:val="28"/>
          <w:lang w:val="uk-UA"/>
        </w:rPr>
        <w:t>.0</w:t>
      </w:r>
      <w:r w:rsidR="00DB1E5F" w:rsidRPr="00E707BB">
        <w:rPr>
          <w:rFonts w:cs="Times New Roman"/>
          <w:b/>
          <w:bCs/>
          <w:szCs w:val="28"/>
          <w:lang w:val="uk-UA"/>
        </w:rPr>
        <w:t>7</w:t>
      </w:r>
      <w:r w:rsidRPr="00E707BB">
        <w:rPr>
          <w:rFonts w:cs="Times New Roman"/>
          <w:b/>
          <w:bCs/>
          <w:szCs w:val="28"/>
          <w:lang w:val="uk-UA"/>
        </w:rPr>
        <w:t>.2023 № 7</w:t>
      </w:r>
      <w:r w:rsidR="004F51CC" w:rsidRPr="00E707BB">
        <w:rPr>
          <w:rFonts w:cs="Times New Roman"/>
          <w:b/>
          <w:bCs/>
          <w:szCs w:val="28"/>
          <w:lang w:val="uk-UA"/>
        </w:rPr>
        <w:t>0</w:t>
      </w:r>
      <w:r w:rsidR="00DB1E5F" w:rsidRPr="00E707BB">
        <w:rPr>
          <w:rFonts w:cs="Times New Roman"/>
          <w:b/>
          <w:bCs/>
          <w:szCs w:val="28"/>
          <w:lang w:val="uk-UA"/>
        </w:rPr>
        <w:t>3</w:t>
      </w:r>
      <w:r w:rsidRPr="00E707BB">
        <w:rPr>
          <w:rFonts w:cs="Times New Roman"/>
          <w:b/>
          <w:bCs/>
          <w:szCs w:val="28"/>
          <w:lang w:val="uk-UA"/>
        </w:rPr>
        <w:t xml:space="preserve"> «</w:t>
      </w:r>
      <w:r w:rsidR="004F51CC" w:rsidRPr="00E707BB">
        <w:rPr>
          <w:rFonts w:cs="Times New Roman"/>
          <w:b/>
          <w:bCs/>
          <w:szCs w:val="28"/>
          <w:lang w:val="uk-UA"/>
        </w:rPr>
        <w:t xml:space="preserve">Про </w:t>
      </w:r>
      <w:r w:rsidR="00DB1E5F" w:rsidRPr="00E707BB">
        <w:rPr>
          <w:rFonts w:cs="Times New Roman"/>
          <w:b/>
          <w:bCs/>
          <w:szCs w:val="28"/>
          <w:lang w:val="uk-UA"/>
        </w:rPr>
        <w:t>внесення змін до постанови Кабінету Міністрів України від 8 жовтня 2012 р. № 963</w:t>
      </w:r>
      <w:r w:rsidRPr="00E707BB">
        <w:rPr>
          <w:rFonts w:cs="Times New Roman"/>
          <w:b/>
          <w:bCs/>
          <w:szCs w:val="28"/>
          <w:lang w:val="uk-UA"/>
        </w:rPr>
        <w:t>».</w:t>
      </w:r>
    </w:p>
    <w:p w14:paraId="4C9A87E7" w14:textId="77777777" w:rsidR="00E1302F" w:rsidRPr="00E707BB" w:rsidRDefault="00E1302F" w:rsidP="000767A9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</w:p>
    <w:p w14:paraId="43F164D7" w14:textId="69393A85" w:rsidR="006B19DC" w:rsidRPr="00E707BB" w:rsidRDefault="00FE4C69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 xml:space="preserve">1. </w:t>
      </w:r>
      <w:r w:rsidRPr="00E707BB">
        <w:rPr>
          <w:rFonts w:cs="Times New Roman"/>
          <w:b/>
          <w:spacing w:val="-4"/>
          <w:szCs w:val="28"/>
          <w:lang w:val="uk-UA"/>
        </w:rPr>
        <w:t xml:space="preserve">Вид та назва регуляторного </w:t>
      </w:r>
      <w:proofErr w:type="spellStart"/>
      <w:r w:rsidRPr="00E707BB">
        <w:rPr>
          <w:rFonts w:cs="Times New Roman"/>
          <w:b/>
          <w:spacing w:val="-4"/>
          <w:szCs w:val="28"/>
          <w:lang w:val="uk-UA"/>
        </w:rPr>
        <w:t>акта</w:t>
      </w:r>
      <w:proofErr w:type="spellEnd"/>
      <w:r w:rsidRPr="00E707BB">
        <w:rPr>
          <w:rFonts w:cs="Times New Roman"/>
          <w:b/>
          <w:spacing w:val="-4"/>
          <w:szCs w:val="28"/>
          <w:lang w:val="uk-UA"/>
        </w:rPr>
        <w:t>, результативність</w:t>
      </w:r>
      <w:r w:rsidRPr="00E707BB">
        <w:rPr>
          <w:rFonts w:cs="Times New Roman"/>
          <w:b/>
          <w:szCs w:val="28"/>
          <w:lang w:val="uk-UA"/>
        </w:rPr>
        <w:t xml:space="preserve"> якого відстежується, дата його прийняття та номер</w:t>
      </w:r>
    </w:p>
    <w:p w14:paraId="1EB66CEA" w14:textId="3FEC7977" w:rsidR="00FE4C69" w:rsidRPr="00E707BB" w:rsidRDefault="00E1302F" w:rsidP="00E1302F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 xml:space="preserve">Постанови Кабінету Міністрів України від </w:t>
      </w:r>
      <w:r w:rsidR="002A0886" w:rsidRPr="00E707BB">
        <w:rPr>
          <w:rFonts w:cs="Times New Roman"/>
          <w:szCs w:val="28"/>
          <w:lang w:val="uk-UA"/>
        </w:rPr>
        <w:t>11</w:t>
      </w:r>
      <w:r w:rsidRPr="00E707BB">
        <w:rPr>
          <w:rFonts w:cs="Times New Roman"/>
          <w:szCs w:val="28"/>
          <w:lang w:val="uk-UA"/>
        </w:rPr>
        <w:t>.0</w:t>
      </w:r>
      <w:r w:rsidR="002A0886" w:rsidRPr="00E707BB">
        <w:rPr>
          <w:rFonts w:cs="Times New Roman"/>
          <w:szCs w:val="28"/>
          <w:lang w:val="uk-UA"/>
        </w:rPr>
        <w:t>7</w:t>
      </w:r>
      <w:r w:rsidRPr="00E707BB">
        <w:rPr>
          <w:rFonts w:cs="Times New Roman"/>
          <w:szCs w:val="28"/>
          <w:lang w:val="uk-UA"/>
        </w:rPr>
        <w:t>.2023 № 7</w:t>
      </w:r>
      <w:r w:rsidR="003C2879" w:rsidRPr="00E707BB">
        <w:rPr>
          <w:rFonts w:cs="Times New Roman"/>
          <w:szCs w:val="28"/>
          <w:lang w:val="uk-UA"/>
        </w:rPr>
        <w:t>0</w:t>
      </w:r>
      <w:r w:rsidR="002A0886" w:rsidRPr="00E707BB">
        <w:rPr>
          <w:rFonts w:cs="Times New Roman"/>
          <w:szCs w:val="28"/>
          <w:lang w:val="uk-UA"/>
        </w:rPr>
        <w:t>3</w:t>
      </w:r>
      <w:r w:rsidRPr="00E707BB">
        <w:rPr>
          <w:rFonts w:cs="Times New Roman"/>
          <w:szCs w:val="28"/>
          <w:lang w:val="uk-UA"/>
        </w:rPr>
        <w:t xml:space="preserve"> «</w:t>
      </w:r>
      <w:r w:rsidR="002A0886" w:rsidRPr="00E707BB">
        <w:rPr>
          <w:rFonts w:cs="Times New Roman"/>
          <w:szCs w:val="28"/>
          <w:lang w:val="uk-UA"/>
        </w:rPr>
        <w:t>Про внесення змін до постанови Кабінету Міністрів України від 8 жовтня 2012 р. № 963</w:t>
      </w:r>
      <w:r w:rsidRPr="00E707BB">
        <w:rPr>
          <w:rFonts w:cs="Times New Roman"/>
          <w:szCs w:val="28"/>
          <w:lang w:val="uk-UA"/>
        </w:rPr>
        <w:t xml:space="preserve">» </w:t>
      </w:r>
      <w:r w:rsidR="00FE4C69" w:rsidRPr="00E707BB">
        <w:rPr>
          <w:rFonts w:cs="Times New Roman"/>
          <w:szCs w:val="28"/>
          <w:lang w:val="uk-UA"/>
        </w:rPr>
        <w:t xml:space="preserve">(далі – </w:t>
      </w:r>
      <w:r w:rsidR="00866CAD" w:rsidRPr="00E707BB">
        <w:rPr>
          <w:rFonts w:cs="Times New Roman"/>
          <w:szCs w:val="28"/>
          <w:lang w:val="uk-UA"/>
        </w:rPr>
        <w:t>регуляторний акт</w:t>
      </w:r>
      <w:r w:rsidR="00FE4C69" w:rsidRPr="00E707BB">
        <w:rPr>
          <w:rFonts w:cs="Times New Roman"/>
          <w:szCs w:val="28"/>
          <w:lang w:val="uk-UA"/>
        </w:rPr>
        <w:t>).</w:t>
      </w:r>
    </w:p>
    <w:p w14:paraId="7310AF11" w14:textId="2E90EAD6" w:rsidR="00B367E1" w:rsidRPr="00E707BB" w:rsidRDefault="00BA1E89" w:rsidP="00817927">
      <w:pPr>
        <w:spacing w:after="0" w:line="310" w:lineRule="exact"/>
        <w:ind w:firstLine="567"/>
        <w:jc w:val="both"/>
        <w:rPr>
          <w:rFonts w:cs="Times New Roman"/>
          <w:color w:val="FF0000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 xml:space="preserve">Дата набрання чинності – </w:t>
      </w:r>
      <w:r w:rsidR="004F51CC" w:rsidRPr="00E707BB">
        <w:rPr>
          <w:rFonts w:cs="Times New Roman"/>
          <w:szCs w:val="28"/>
          <w:lang w:val="uk-UA"/>
        </w:rPr>
        <w:t>1</w:t>
      </w:r>
      <w:r w:rsidR="002A0886" w:rsidRPr="00E707BB">
        <w:rPr>
          <w:rFonts w:cs="Times New Roman"/>
          <w:szCs w:val="28"/>
          <w:lang w:val="uk-UA"/>
        </w:rPr>
        <w:t>3</w:t>
      </w:r>
      <w:r w:rsidR="006642B7" w:rsidRPr="00E707BB">
        <w:rPr>
          <w:rFonts w:cs="Times New Roman"/>
          <w:szCs w:val="28"/>
          <w:lang w:val="uk-UA"/>
        </w:rPr>
        <w:t xml:space="preserve"> липня</w:t>
      </w:r>
      <w:r w:rsidR="00B367E1" w:rsidRPr="00E707BB">
        <w:rPr>
          <w:rFonts w:cs="Times New Roman"/>
          <w:szCs w:val="28"/>
          <w:lang w:val="uk-UA"/>
        </w:rPr>
        <w:t xml:space="preserve"> </w:t>
      </w:r>
      <w:r w:rsidRPr="00E707BB">
        <w:rPr>
          <w:rFonts w:cs="Times New Roman"/>
          <w:szCs w:val="28"/>
          <w:lang w:val="uk-UA"/>
        </w:rPr>
        <w:t>202</w:t>
      </w:r>
      <w:r w:rsidR="006642B7" w:rsidRPr="00E707BB">
        <w:rPr>
          <w:rFonts w:cs="Times New Roman"/>
          <w:szCs w:val="28"/>
          <w:lang w:val="uk-UA"/>
        </w:rPr>
        <w:t>3</w:t>
      </w:r>
      <w:r w:rsidR="00B367E1" w:rsidRPr="00E707BB">
        <w:rPr>
          <w:rFonts w:cs="Times New Roman"/>
          <w:szCs w:val="28"/>
          <w:lang w:val="uk-UA"/>
        </w:rPr>
        <w:t xml:space="preserve"> року</w:t>
      </w:r>
      <w:r w:rsidRPr="00E707BB">
        <w:rPr>
          <w:rFonts w:cs="Times New Roman"/>
          <w:szCs w:val="28"/>
          <w:lang w:val="uk-UA"/>
        </w:rPr>
        <w:t>.</w:t>
      </w:r>
    </w:p>
    <w:p w14:paraId="7F5F9E02" w14:textId="77777777" w:rsidR="003064D6" w:rsidRPr="00E707BB" w:rsidRDefault="003064D6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7570B9B6" w14:textId="77777777" w:rsidR="00FE4C69" w:rsidRPr="00E707BB" w:rsidRDefault="00FE4C69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>2. Назва виконавця заходів з відстеження</w:t>
      </w:r>
    </w:p>
    <w:p w14:paraId="00916C30" w14:textId="2BEBE0E5" w:rsidR="00FE4C69" w:rsidRPr="00E707BB" w:rsidRDefault="00FE4C6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Державна служба геології та надр України.</w:t>
      </w:r>
    </w:p>
    <w:p w14:paraId="131F7801" w14:textId="77777777" w:rsidR="00B367E1" w:rsidRPr="00E707BB" w:rsidRDefault="00B367E1" w:rsidP="00817927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22CBAF8C" w14:textId="6E48B905" w:rsidR="00B367E1" w:rsidRPr="00E707BB" w:rsidRDefault="00E070F0" w:rsidP="008A0C70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 xml:space="preserve">3. Цілі прийняття </w:t>
      </w:r>
      <w:proofErr w:type="spellStart"/>
      <w:r w:rsidRPr="00E707BB">
        <w:rPr>
          <w:rFonts w:cs="Times New Roman"/>
          <w:b/>
          <w:szCs w:val="28"/>
          <w:lang w:val="uk-UA"/>
        </w:rPr>
        <w:t>акта</w:t>
      </w:r>
      <w:proofErr w:type="spellEnd"/>
    </w:p>
    <w:p w14:paraId="2CD3AE4F" w14:textId="77777777" w:rsidR="003A033A" w:rsidRPr="00E707BB" w:rsidRDefault="003A033A" w:rsidP="008A0C7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707BB">
        <w:rPr>
          <w:sz w:val="28"/>
          <w:szCs w:val="28"/>
          <w:lang w:val="uk-UA"/>
        </w:rPr>
        <w:t xml:space="preserve">Основними цілями прийняття </w:t>
      </w:r>
      <w:proofErr w:type="spellStart"/>
      <w:r w:rsidRPr="00E707BB">
        <w:rPr>
          <w:sz w:val="28"/>
          <w:szCs w:val="28"/>
          <w:lang w:val="uk-UA"/>
        </w:rPr>
        <w:t>акта</w:t>
      </w:r>
      <w:proofErr w:type="spellEnd"/>
      <w:r w:rsidRPr="00E707BB">
        <w:rPr>
          <w:sz w:val="28"/>
          <w:szCs w:val="28"/>
          <w:lang w:val="uk-UA"/>
        </w:rPr>
        <w:t xml:space="preserve"> є: </w:t>
      </w:r>
    </w:p>
    <w:p w14:paraId="069167AE" w14:textId="77777777" w:rsidR="00EA3A6B" w:rsidRPr="00E707BB" w:rsidRDefault="00EA3A6B" w:rsidP="00EA3A6B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E707BB">
        <w:rPr>
          <w:rFonts w:cs="Times New Roman"/>
          <w:color w:val="000000"/>
          <w:szCs w:val="28"/>
          <w:lang w:val="uk-UA"/>
        </w:rPr>
        <w:t xml:space="preserve">виключення не властивої </w:t>
      </w:r>
      <w:proofErr w:type="spellStart"/>
      <w:r w:rsidRPr="00E707BB">
        <w:rPr>
          <w:rFonts w:cs="Times New Roman"/>
          <w:color w:val="000000"/>
          <w:szCs w:val="28"/>
          <w:lang w:val="uk-UA"/>
        </w:rPr>
        <w:t>Держгеонадрам</w:t>
      </w:r>
      <w:proofErr w:type="spellEnd"/>
      <w:r w:rsidRPr="00E707BB">
        <w:rPr>
          <w:rFonts w:cs="Times New Roman"/>
          <w:color w:val="000000"/>
          <w:szCs w:val="28"/>
          <w:lang w:val="uk-UA"/>
        </w:rPr>
        <w:t xml:space="preserve"> функції щодо визначення підприємств і організацій, </w:t>
      </w:r>
      <w:proofErr w:type="spellStart"/>
      <w:r w:rsidRPr="00E707BB">
        <w:rPr>
          <w:rFonts w:cs="Times New Roman"/>
          <w:color w:val="000000"/>
          <w:szCs w:val="28"/>
          <w:lang w:val="uk-UA"/>
        </w:rPr>
        <w:t>повірочні</w:t>
      </w:r>
      <w:proofErr w:type="spellEnd"/>
      <w:r w:rsidRPr="00E707BB">
        <w:rPr>
          <w:rFonts w:cs="Times New Roman"/>
          <w:color w:val="000000"/>
          <w:szCs w:val="28"/>
          <w:lang w:val="uk-UA"/>
        </w:rPr>
        <w:t xml:space="preserve"> лабораторії яких проводитимуть метрологічну атестацію або повірку засобів вимірювання обсягів видобутку підземних вод;</w:t>
      </w:r>
    </w:p>
    <w:p w14:paraId="13433789" w14:textId="77777777" w:rsidR="00EA3A6B" w:rsidRPr="00E707BB" w:rsidRDefault="00EA3A6B" w:rsidP="00EA3A6B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E707BB">
        <w:rPr>
          <w:rFonts w:cs="Times New Roman"/>
          <w:color w:val="000000"/>
          <w:szCs w:val="28"/>
          <w:lang w:val="uk-UA"/>
        </w:rPr>
        <w:t xml:space="preserve">визначення повноваження </w:t>
      </w:r>
      <w:proofErr w:type="spellStart"/>
      <w:r w:rsidRPr="00E707BB">
        <w:rPr>
          <w:rFonts w:cs="Times New Roman"/>
          <w:color w:val="000000"/>
          <w:szCs w:val="28"/>
          <w:lang w:val="uk-UA"/>
        </w:rPr>
        <w:t>Міндовкілля</w:t>
      </w:r>
      <w:proofErr w:type="spellEnd"/>
      <w:r w:rsidRPr="00E707BB">
        <w:rPr>
          <w:rFonts w:cs="Times New Roman"/>
          <w:color w:val="000000"/>
          <w:szCs w:val="28"/>
          <w:lang w:val="uk-UA"/>
        </w:rPr>
        <w:t xml:space="preserve"> щодо розроблення Положення про функціонування державного реєстру артезіанських свердловин;</w:t>
      </w:r>
    </w:p>
    <w:p w14:paraId="14B63486" w14:textId="77777777" w:rsidR="00EA3A6B" w:rsidRPr="00E707BB" w:rsidRDefault="00EA3A6B" w:rsidP="00EA3A6B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E707BB">
        <w:rPr>
          <w:rFonts w:cs="Times New Roman"/>
          <w:color w:val="000000"/>
          <w:szCs w:val="28"/>
          <w:lang w:val="uk-UA"/>
        </w:rPr>
        <w:t>визначення періодичності подання та/або оновлення даних державного реєстру артезіанських свердловин з метою уникнення дублювання таких даних;</w:t>
      </w:r>
    </w:p>
    <w:p w14:paraId="2D09C389" w14:textId="77777777" w:rsidR="00EA3A6B" w:rsidRPr="00E707BB" w:rsidRDefault="00EA3A6B" w:rsidP="00EA3A6B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E707BB">
        <w:rPr>
          <w:rFonts w:cs="Times New Roman"/>
          <w:color w:val="000000"/>
          <w:szCs w:val="28"/>
          <w:lang w:val="uk-UA"/>
        </w:rPr>
        <w:t xml:space="preserve">визначення єдиного порядку подання даних до державного реєстру артезіанських свердловин через електронний кабінет </w:t>
      </w:r>
      <w:proofErr w:type="spellStart"/>
      <w:r w:rsidRPr="00E707BB">
        <w:rPr>
          <w:rFonts w:cs="Times New Roman"/>
          <w:color w:val="000000"/>
          <w:szCs w:val="28"/>
          <w:lang w:val="uk-UA"/>
        </w:rPr>
        <w:t>надрокористувача</w:t>
      </w:r>
      <w:proofErr w:type="spellEnd"/>
      <w:r w:rsidRPr="00E707BB">
        <w:rPr>
          <w:rFonts w:cs="Times New Roman"/>
          <w:color w:val="000000"/>
          <w:szCs w:val="28"/>
          <w:lang w:val="uk-UA"/>
        </w:rPr>
        <w:t xml:space="preserve"> на офіційному веб-сайті </w:t>
      </w:r>
      <w:proofErr w:type="spellStart"/>
      <w:r w:rsidRPr="00E707BB">
        <w:rPr>
          <w:rFonts w:cs="Times New Roman"/>
          <w:color w:val="000000"/>
          <w:szCs w:val="28"/>
          <w:lang w:val="uk-UA"/>
        </w:rPr>
        <w:t>Держгеонадр</w:t>
      </w:r>
      <w:proofErr w:type="spellEnd"/>
      <w:r w:rsidRPr="00E707BB">
        <w:rPr>
          <w:rFonts w:cs="Times New Roman"/>
          <w:color w:val="000000"/>
          <w:szCs w:val="28"/>
          <w:lang w:val="uk-UA"/>
        </w:rPr>
        <w:t>;</w:t>
      </w:r>
    </w:p>
    <w:p w14:paraId="065EB951" w14:textId="36846E7B" w:rsidR="00E419E5" w:rsidRPr="00E707BB" w:rsidRDefault="00EA3A6B" w:rsidP="00EA3A6B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E707BB">
        <w:rPr>
          <w:rFonts w:cs="Times New Roman"/>
          <w:color w:val="000000"/>
          <w:szCs w:val="28"/>
          <w:lang w:val="uk-UA"/>
        </w:rPr>
        <w:t>оптимізація здійснення заходів з державного контролю (нагляду).</w:t>
      </w:r>
    </w:p>
    <w:p w14:paraId="118F40D9" w14:textId="77777777" w:rsidR="00EA3A6B" w:rsidRPr="00E707BB" w:rsidRDefault="00EA3A6B" w:rsidP="00EA3A6B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23DBA231" w14:textId="77777777" w:rsidR="00E070F0" w:rsidRPr="00E707BB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>4. Строк виконання заходів з відстеження</w:t>
      </w:r>
    </w:p>
    <w:p w14:paraId="53780D43" w14:textId="1D809E17" w:rsidR="003064D6" w:rsidRPr="00E707BB" w:rsidRDefault="004F51CC" w:rsidP="00817927">
      <w:pPr>
        <w:spacing w:after="0" w:line="310" w:lineRule="exact"/>
        <w:ind w:firstLine="567"/>
        <w:jc w:val="both"/>
        <w:rPr>
          <w:rFonts w:cs="Times New Roman"/>
          <w:color w:val="FF0000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1</w:t>
      </w:r>
      <w:r w:rsidR="00E17800" w:rsidRPr="00E707BB">
        <w:rPr>
          <w:rFonts w:cs="Times New Roman"/>
          <w:szCs w:val="28"/>
          <w:lang w:val="uk-UA"/>
        </w:rPr>
        <w:t>5</w:t>
      </w:r>
      <w:r w:rsidR="006E490B" w:rsidRPr="00E707BB">
        <w:rPr>
          <w:rFonts w:cs="Times New Roman"/>
          <w:szCs w:val="28"/>
          <w:lang w:val="uk-UA"/>
        </w:rPr>
        <w:t>.07</w:t>
      </w:r>
      <w:r w:rsidR="003064D6" w:rsidRPr="00E707BB">
        <w:rPr>
          <w:rFonts w:cs="Times New Roman"/>
          <w:szCs w:val="28"/>
          <w:lang w:val="uk-UA"/>
        </w:rPr>
        <w:t xml:space="preserve"> 202</w:t>
      </w:r>
      <w:r w:rsidR="003A033A" w:rsidRPr="00E707BB">
        <w:rPr>
          <w:rFonts w:cs="Times New Roman"/>
          <w:szCs w:val="28"/>
          <w:lang w:val="uk-UA"/>
        </w:rPr>
        <w:t>4</w:t>
      </w:r>
      <w:r w:rsidR="003064D6" w:rsidRPr="00E707BB">
        <w:rPr>
          <w:rFonts w:cs="Times New Roman"/>
          <w:szCs w:val="28"/>
          <w:lang w:val="uk-UA"/>
        </w:rPr>
        <w:t xml:space="preserve"> – </w:t>
      </w:r>
      <w:r w:rsidR="00E17800" w:rsidRPr="00E707BB">
        <w:rPr>
          <w:rFonts w:cs="Times New Roman"/>
          <w:szCs w:val="28"/>
          <w:lang w:val="uk-UA"/>
        </w:rPr>
        <w:t>19</w:t>
      </w:r>
      <w:r w:rsidR="004364FA" w:rsidRPr="00E707BB">
        <w:rPr>
          <w:rFonts w:cs="Times New Roman"/>
          <w:szCs w:val="28"/>
          <w:lang w:val="uk-UA"/>
        </w:rPr>
        <w:t>.07</w:t>
      </w:r>
      <w:r w:rsidR="005708E5" w:rsidRPr="00E707BB">
        <w:rPr>
          <w:rFonts w:cs="Times New Roman"/>
          <w:szCs w:val="28"/>
          <w:lang w:val="uk-UA"/>
        </w:rPr>
        <w:t>.</w:t>
      </w:r>
      <w:r w:rsidR="003064D6" w:rsidRPr="00E707BB">
        <w:rPr>
          <w:rFonts w:cs="Times New Roman"/>
          <w:szCs w:val="28"/>
          <w:lang w:val="uk-UA"/>
        </w:rPr>
        <w:t>202</w:t>
      </w:r>
      <w:r w:rsidR="006E490B" w:rsidRPr="00E707BB">
        <w:rPr>
          <w:rFonts w:cs="Times New Roman"/>
          <w:szCs w:val="28"/>
          <w:lang w:val="uk-UA"/>
        </w:rPr>
        <w:t>4</w:t>
      </w:r>
      <w:r w:rsidR="003A033A" w:rsidRPr="00E707BB">
        <w:rPr>
          <w:rFonts w:cs="Times New Roman"/>
          <w:szCs w:val="28"/>
          <w:lang w:val="uk-UA"/>
        </w:rPr>
        <w:t xml:space="preserve"> </w:t>
      </w:r>
    </w:p>
    <w:p w14:paraId="70EBB14C" w14:textId="77777777" w:rsidR="003064D6" w:rsidRPr="00E707BB" w:rsidRDefault="003064D6" w:rsidP="00817927">
      <w:pPr>
        <w:spacing w:after="0" w:line="240" w:lineRule="auto"/>
        <w:ind w:firstLine="567"/>
        <w:jc w:val="both"/>
        <w:rPr>
          <w:rFonts w:cs="Times New Roman"/>
          <w:color w:val="FF0000"/>
          <w:szCs w:val="28"/>
          <w:lang w:val="uk-UA"/>
        </w:rPr>
      </w:pPr>
    </w:p>
    <w:p w14:paraId="17BA1EB5" w14:textId="6CCF89F0" w:rsidR="008F5BF7" w:rsidRPr="00E707BB" w:rsidRDefault="008F5BF7" w:rsidP="00817927">
      <w:pPr>
        <w:spacing w:after="40" w:line="310" w:lineRule="exact"/>
        <w:ind w:left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>5.</w:t>
      </w:r>
      <w:r w:rsidRPr="00E707BB">
        <w:rPr>
          <w:rFonts w:cs="Times New Roman"/>
          <w:szCs w:val="28"/>
          <w:lang w:val="uk-UA"/>
        </w:rPr>
        <w:t xml:space="preserve"> </w:t>
      </w:r>
      <w:r w:rsidRPr="00E707BB">
        <w:rPr>
          <w:rFonts w:cs="Times New Roman"/>
          <w:b/>
          <w:szCs w:val="28"/>
          <w:lang w:val="uk-UA"/>
        </w:rPr>
        <w:t>Тип відстеження</w:t>
      </w:r>
      <w:r w:rsidR="004926B2" w:rsidRPr="00E707BB">
        <w:rPr>
          <w:rFonts w:cs="Times New Roman"/>
          <w:szCs w:val="28"/>
          <w:lang w:val="uk-UA"/>
        </w:rPr>
        <w:t xml:space="preserve"> </w:t>
      </w:r>
      <w:r w:rsidR="004926B2" w:rsidRPr="00E707BB">
        <w:rPr>
          <w:rFonts w:cs="Times New Roman"/>
          <w:b/>
          <w:szCs w:val="28"/>
          <w:lang w:val="uk-UA"/>
        </w:rPr>
        <w:t>(базове, повторне або періодичне)</w:t>
      </w:r>
    </w:p>
    <w:p w14:paraId="5A38CE0F" w14:textId="73D9019F" w:rsidR="008F5BF7" w:rsidRPr="00E707BB" w:rsidRDefault="008F5BF7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Базове</w:t>
      </w:r>
      <w:r w:rsidR="003064D6" w:rsidRPr="00E707BB">
        <w:rPr>
          <w:rFonts w:cs="Times New Roman"/>
          <w:szCs w:val="28"/>
          <w:lang w:val="uk-UA"/>
        </w:rPr>
        <w:t xml:space="preserve"> відстеження.</w:t>
      </w:r>
    </w:p>
    <w:p w14:paraId="2629DE60" w14:textId="77777777" w:rsidR="003064D6" w:rsidRPr="00E707BB" w:rsidRDefault="003064D6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5045FA27" w14:textId="77777777" w:rsidR="008F5BF7" w:rsidRPr="00E707BB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>6. Методи одержання результатів відстеження</w:t>
      </w:r>
    </w:p>
    <w:p w14:paraId="279A88CE" w14:textId="3348BACF" w:rsidR="008F5BF7" w:rsidRPr="00E707BB" w:rsidRDefault="003064D6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Для в</w:t>
      </w:r>
      <w:r w:rsidR="00B11E1C" w:rsidRPr="00E707BB">
        <w:rPr>
          <w:rFonts w:cs="Times New Roman"/>
          <w:szCs w:val="28"/>
          <w:lang w:val="uk-UA"/>
        </w:rPr>
        <w:t>ідстеження результативності</w:t>
      </w:r>
      <w:r w:rsidR="00866CAD" w:rsidRPr="00E707BB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="00866CAD" w:rsidRPr="00E707BB">
        <w:rPr>
          <w:rFonts w:cs="Times New Roman"/>
          <w:szCs w:val="28"/>
          <w:lang w:val="uk-UA"/>
        </w:rPr>
        <w:t>акта</w:t>
      </w:r>
      <w:proofErr w:type="spellEnd"/>
      <w:r w:rsidR="00B11E1C" w:rsidRPr="00E707BB">
        <w:rPr>
          <w:rFonts w:cs="Times New Roman"/>
          <w:szCs w:val="28"/>
          <w:lang w:val="uk-UA"/>
        </w:rPr>
        <w:t xml:space="preserve"> </w:t>
      </w:r>
      <w:r w:rsidRPr="00E707BB">
        <w:rPr>
          <w:rFonts w:cs="Times New Roman"/>
          <w:szCs w:val="28"/>
          <w:lang w:val="uk-UA"/>
        </w:rPr>
        <w:t xml:space="preserve">використовувалися </w:t>
      </w:r>
      <w:r w:rsidR="00B11E1C" w:rsidRPr="00E707BB">
        <w:rPr>
          <w:rFonts w:cs="Times New Roman"/>
          <w:szCs w:val="28"/>
          <w:lang w:val="uk-UA"/>
        </w:rPr>
        <w:t>с</w:t>
      </w:r>
      <w:r w:rsidR="00DA516D" w:rsidRPr="00E707BB">
        <w:rPr>
          <w:rFonts w:cs="Times New Roman"/>
          <w:szCs w:val="28"/>
          <w:lang w:val="uk-UA"/>
        </w:rPr>
        <w:t>татистичн</w:t>
      </w:r>
      <w:r w:rsidRPr="00E707BB">
        <w:rPr>
          <w:rFonts w:cs="Times New Roman"/>
          <w:szCs w:val="28"/>
          <w:lang w:val="uk-UA"/>
        </w:rPr>
        <w:t>і дані</w:t>
      </w:r>
      <w:r w:rsidR="00DA516D" w:rsidRPr="00E707BB">
        <w:rPr>
          <w:rFonts w:cs="Times New Roman"/>
          <w:szCs w:val="28"/>
          <w:lang w:val="uk-UA"/>
        </w:rPr>
        <w:t>.</w:t>
      </w:r>
    </w:p>
    <w:p w14:paraId="7384E464" w14:textId="77777777" w:rsidR="00435C5D" w:rsidRPr="00E707BB" w:rsidRDefault="00435C5D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</w:p>
    <w:p w14:paraId="6E7F0A1E" w14:textId="1B48B54E" w:rsidR="008F5BF7" w:rsidRPr="00E707BB" w:rsidRDefault="008F5BF7" w:rsidP="0089295A">
      <w:pPr>
        <w:spacing w:after="40" w:line="310" w:lineRule="exact"/>
        <w:ind w:left="567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 xml:space="preserve">7. </w:t>
      </w:r>
      <w:r w:rsidRPr="00E707BB">
        <w:rPr>
          <w:rFonts w:cs="Times New Roman"/>
          <w:b/>
          <w:spacing w:val="-4"/>
          <w:szCs w:val="28"/>
          <w:lang w:val="uk-UA"/>
        </w:rPr>
        <w:t>Дані та припущення, на основі яких відстежувалася</w:t>
      </w:r>
      <w:r w:rsidRPr="00E707BB">
        <w:rPr>
          <w:rFonts w:cs="Times New Roman"/>
          <w:b/>
          <w:szCs w:val="28"/>
          <w:lang w:val="uk-UA"/>
        </w:rPr>
        <w:t xml:space="preserve"> результативність, а також способи одержання даних</w:t>
      </w:r>
      <w:r w:rsidR="0089295A" w:rsidRPr="00E707BB">
        <w:rPr>
          <w:rFonts w:cs="Times New Roman"/>
          <w:b/>
          <w:szCs w:val="28"/>
          <w:lang w:val="uk-UA"/>
        </w:rPr>
        <w:t xml:space="preserve"> </w:t>
      </w:r>
    </w:p>
    <w:p w14:paraId="4662881E" w14:textId="5B0CAAFA" w:rsidR="00EE74B0" w:rsidRPr="00E707BB" w:rsidRDefault="00307004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E707BB">
        <w:rPr>
          <w:rFonts w:cs="Times New Roman"/>
          <w:szCs w:val="28"/>
          <w:lang w:val="uk-UA"/>
        </w:rPr>
        <w:t>акта</w:t>
      </w:r>
      <w:proofErr w:type="spellEnd"/>
      <w:r w:rsidRPr="00E707BB">
        <w:rPr>
          <w:rFonts w:cs="Times New Roman"/>
          <w:szCs w:val="28"/>
          <w:lang w:val="uk-UA"/>
        </w:rPr>
        <w:t xml:space="preserve"> здійснювалось відповідно до вимог Закону України </w:t>
      </w:r>
      <w:r w:rsidR="00EE74B0" w:rsidRPr="00E707BB">
        <w:rPr>
          <w:rFonts w:cs="Times New Roman"/>
          <w:szCs w:val="28"/>
          <w:lang w:val="uk-UA"/>
        </w:rPr>
        <w:t>“</w:t>
      </w:r>
      <w:r w:rsidRPr="00E707BB">
        <w:rPr>
          <w:rFonts w:cs="Times New Roman"/>
          <w:szCs w:val="28"/>
          <w:lang w:val="uk-UA"/>
        </w:rPr>
        <w:t xml:space="preserve">Про засади державної регуляторної </w:t>
      </w:r>
      <w:r w:rsidRPr="00E707BB">
        <w:rPr>
          <w:rFonts w:cs="Times New Roman"/>
          <w:szCs w:val="28"/>
          <w:lang w:val="uk-UA"/>
        </w:rPr>
        <w:lastRenderedPageBreak/>
        <w:t>політики у сфері господарської діяльності</w:t>
      </w:r>
      <w:r w:rsidR="00EE74B0" w:rsidRPr="00E707BB">
        <w:rPr>
          <w:rFonts w:cs="Times New Roman"/>
          <w:szCs w:val="28"/>
          <w:lang w:val="uk-UA"/>
        </w:rPr>
        <w:t>”</w:t>
      </w:r>
      <w:r w:rsidRPr="00E707BB">
        <w:rPr>
          <w:rFonts w:cs="Times New Roman"/>
          <w:szCs w:val="28"/>
          <w:lang w:val="uk-UA"/>
        </w:rPr>
        <w:t xml:space="preserve"> шляхом </w:t>
      </w:r>
      <w:r w:rsidR="008211D6" w:rsidRPr="00E707BB">
        <w:rPr>
          <w:rFonts w:cs="Times New Roman"/>
          <w:szCs w:val="28"/>
          <w:lang w:val="uk-UA"/>
        </w:rPr>
        <w:t>збирання та аналізу статистичних даних</w:t>
      </w:r>
      <w:r w:rsidRPr="00E707BB">
        <w:rPr>
          <w:rFonts w:cs="Times New Roman"/>
          <w:szCs w:val="28"/>
          <w:lang w:val="uk-UA"/>
        </w:rPr>
        <w:t>.</w:t>
      </w:r>
    </w:p>
    <w:p w14:paraId="4D8EE205" w14:textId="77777777" w:rsidR="00C77675" w:rsidRPr="00E707BB" w:rsidRDefault="00C77675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0C0D6CB2" w14:textId="77777777" w:rsidR="002066E1" w:rsidRPr="00E707BB" w:rsidRDefault="002066E1" w:rsidP="0089295A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E707BB">
        <w:rPr>
          <w:rFonts w:cs="Times New Roman"/>
          <w:b/>
          <w:szCs w:val="28"/>
          <w:lang w:val="uk-UA"/>
        </w:rPr>
        <w:t>акта</w:t>
      </w:r>
      <w:proofErr w:type="spellEnd"/>
    </w:p>
    <w:p w14:paraId="7A0F99D0" w14:textId="5BCE7AC5" w:rsidR="00A53F83" w:rsidRPr="00E707BB" w:rsidRDefault="006F0EAF" w:rsidP="0089295A">
      <w:pPr>
        <w:spacing w:after="12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В</w:t>
      </w:r>
      <w:r w:rsidR="00A53F83" w:rsidRPr="00E707BB">
        <w:rPr>
          <w:rFonts w:cs="Times New Roman"/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A53F83" w:rsidRPr="00E707BB">
        <w:rPr>
          <w:rFonts w:cs="Times New Roman"/>
          <w:szCs w:val="28"/>
          <w:lang w:val="uk-UA"/>
        </w:rPr>
        <w:t>акта</w:t>
      </w:r>
      <w:proofErr w:type="spellEnd"/>
      <w:r w:rsidR="00A53F83" w:rsidRPr="00E707BB">
        <w:rPr>
          <w:rFonts w:cs="Times New Roman"/>
          <w:szCs w:val="28"/>
          <w:lang w:val="uk-UA"/>
        </w:rPr>
        <w:t xml:space="preserve"> здійснювалось за такими показниками: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827"/>
      </w:tblGrid>
      <w:tr w:rsidR="005708E5" w:rsidRPr="00E707BB" w14:paraId="2631998B" w14:textId="77777777" w:rsidTr="00320880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E707BB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№ з/п</w:t>
            </w:r>
          </w:p>
        </w:tc>
        <w:tc>
          <w:tcPr>
            <w:tcW w:w="5386" w:type="dxa"/>
            <w:vMerge w:val="restart"/>
            <w:vAlign w:val="center"/>
          </w:tcPr>
          <w:p w14:paraId="0AB1E69B" w14:textId="2E4359BE" w:rsidR="005708E5" w:rsidRPr="00E707BB" w:rsidRDefault="005708E5" w:rsidP="005708E5">
            <w:pPr>
              <w:spacing w:line="220" w:lineRule="exact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E707BB">
              <w:rPr>
                <w:rFonts w:cs="Times New Roman"/>
                <w:b/>
                <w:bCs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827" w:type="dxa"/>
          </w:tcPr>
          <w:p w14:paraId="65E891E3" w14:textId="06C4573F" w:rsidR="005708E5" w:rsidRPr="00E707BB" w:rsidRDefault="005708E5" w:rsidP="00883319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E707BB">
              <w:rPr>
                <w:rFonts w:cs="Times New Roman"/>
                <w:b/>
                <w:szCs w:val="28"/>
                <w:lang w:val="uk-UA"/>
              </w:rPr>
              <w:t>Період</w:t>
            </w:r>
          </w:p>
        </w:tc>
      </w:tr>
      <w:tr w:rsidR="005708E5" w:rsidRPr="00E707BB" w14:paraId="1F8F924C" w14:textId="77777777" w:rsidTr="00320880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5708E5" w:rsidRPr="00E707BB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14:paraId="4FF96986" w14:textId="77777777" w:rsidR="005708E5" w:rsidRPr="00E707BB" w:rsidRDefault="005708E5" w:rsidP="005708E5">
            <w:pPr>
              <w:spacing w:line="220" w:lineRule="exact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E521F82" w14:textId="627B6909" w:rsidR="005708E5" w:rsidRPr="00E707BB" w:rsidRDefault="00CB0198" w:rsidP="00E419E5">
            <w:pPr>
              <w:spacing w:line="310" w:lineRule="exact"/>
              <w:ind w:firstLine="567"/>
              <w:jc w:val="both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1</w:t>
            </w:r>
            <w:r w:rsidR="00E419E5" w:rsidRPr="00E707BB">
              <w:rPr>
                <w:rFonts w:cs="Times New Roman"/>
                <w:szCs w:val="28"/>
                <w:lang w:val="uk-UA"/>
              </w:rPr>
              <w:t>3</w:t>
            </w:r>
            <w:r w:rsidR="003A033A" w:rsidRPr="00E707BB">
              <w:rPr>
                <w:rFonts w:cs="Times New Roman"/>
                <w:szCs w:val="28"/>
                <w:lang w:val="uk-UA"/>
              </w:rPr>
              <w:t>.07.</w:t>
            </w:r>
            <w:r w:rsidR="002215E9" w:rsidRPr="00E707BB">
              <w:rPr>
                <w:rFonts w:cs="Times New Roman"/>
                <w:szCs w:val="28"/>
                <w:lang w:val="uk-UA"/>
              </w:rPr>
              <w:t xml:space="preserve">2023 – </w:t>
            </w:r>
            <w:r w:rsidRPr="00E707BB">
              <w:rPr>
                <w:rFonts w:cs="Times New Roman"/>
                <w:szCs w:val="28"/>
                <w:lang w:val="uk-UA"/>
              </w:rPr>
              <w:t>1</w:t>
            </w:r>
            <w:r w:rsidR="00E419E5" w:rsidRPr="00E707BB">
              <w:rPr>
                <w:rFonts w:cs="Times New Roman"/>
                <w:szCs w:val="28"/>
                <w:lang w:val="uk-UA"/>
              </w:rPr>
              <w:t>3</w:t>
            </w:r>
            <w:r w:rsidR="004364FA" w:rsidRPr="00E707BB">
              <w:rPr>
                <w:rFonts w:cs="Times New Roman"/>
                <w:szCs w:val="28"/>
                <w:lang w:val="uk-UA"/>
              </w:rPr>
              <w:t>.07</w:t>
            </w:r>
            <w:r w:rsidR="003A033A" w:rsidRPr="00E707BB">
              <w:rPr>
                <w:rFonts w:cs="Times New Roman"/>
                <w:szCs w:val="28"/>
                <w:lang w:val="uk-UA"/>
              </w:rPr>
              <w:t>.</w:t>
            </w:r>
            <w:r w:rsidR="002215E9" w:rsidRPr="00E707BB">
              <w:rPr>
                <w:rFonts w:cs="Times New Roman"/>
                <w:szCs w:val="28"/>
                <w:lang w:val="uk-UA"/>
              </w:rPr>
              <w:t>2024</w:t>
            </w:r>
          </w:p>
        </w:tc>
      </w:tr>
      <w:tr w:rsidR="0072024E" w:rsidRPr="00E707BB" w14:paraId="35CDBE11" w14:textId="77777777" w:rsidTr="00EE74B0">
        <w:tc>
          <w:tcPr>
            <w:tcW w:w="9639" w:type="dxa"/>
            <w:gridSpan w:val="3"/>
          </w:tcPr>
          <w:p w14:paraId="20A00432" w14:textId="61E77CD5" w:rsidR="008A3000" w:rsidRPr="00E707BB" w:rsidRDefault="0072024E" w:rsidP="00A317BE">
            <w:pPr>
              <w:spacing w:line="280" w:lineRule="exact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E707BB">
              <w:rPr>
                <w:rFonts w:cs="Times New Roman"/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AC2B58" w:rsidRPr="00E707BB" w14:paraId="43BF42EF" w14:textId="77777777" w:rsidTr="00A317BE">
        <w:trPr>
          <w:trHeight w:val="621"/>
        </w:trPr>
        <w:tc>
          <w:tcPr>
            <w:tcW w:w="426" w:type="dxa"/>
          </w:tcPr>
          <w:p w14:paraId="31016C17" w14:textId="2E986BBF" w:rsidR="00AC2B58" w:rsidRPr="00E707BB" w:rsidRDefault="00AC2B58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1.</w:t>
            </w:r>
          </w:p>
          <w:p w14:paraId="75F3B9E7" w14:textId="364785E5" w:rsidR="00AC2B58" w:rsidRPr="00E707BB" w:rsidRDefault="00AC2B58" w:rsidP="00817927">
            <w:pPr>
              <w:spacing w:line="310" w:lineRule="exact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5386" w:type="dxa"/>
          </w:tcPr>
          <w:p w14:paraId="222FC7E2" w14:textId="6AAB5531" w:rsidR="00434693" w:rsidRPr="00E707BB" w:rsidRDefault="00D73066" w:rsidP="00CB0198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 xml:space="preserve">Кількість суб’єктів господарювання, які </w:t>
            </w:r>
            <w:r w:rsidR="00CB0198" w:rsidRPr="00E707BB">
              <w:rPr>
                <w:rFonts w:cs="Times New Roman"/>
                <w:szCs w:val="28"/>
                <w:lang w:val="uk-UA"/>
              </w:rPr>
              <w:t>внесли дані до Державного реєстру артезіанських свердловин</w:t>
            </w:r>
            <w:r w:rsidRPr="00E707BB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14885E9A" w14:textId="77777777" w:rsidR="00857E4C" w:rsidRPr="00E707BB" w:rsidRDefault="00857E4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5A92A8CA" w14:textId="77777777" w:rsidR="00857E4C" w:rsidRPr="00E707BB" w:rsidRDefault="00857E4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5428FEAE" w14:textId="260054EC" w:rsidR="00AC2B58" w:rsidRPr="00E707BB" w:rsidRDefault="00857E4C" w:rsidP="008B20CD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25</w:t>
            </w:r>
            <w:r w:rsidR="008B20CD" w:rsidRPr="00E707BB">
              <w:rPr>
                <w:rFonts w:cs="Times New Roman"/>
                <w:szCs w:val="28"/>
                <w:lang w:val="uk-UA"/>
              </w:rPr>
              <w:t>46</w:t>
            </w:r>
          </w:p>
        </w:tc>
      </w:tr>
      <w:tr w:rsidR="00AC2B58" w:rsidRPr="00E707BB" w14:paraId="071403C7" w14:textId="77777777" w:rsidTr="00A317BE">
        <w:trPr>
          <w:trHeight w:val="796"/>
        </w:trPr>
        <w:tc>
          <w:tcPr>
            <w:tcW w:w="426" w:type="dxa"/>
          </w:tcPr>
          <w:p w14:paraId="539C2BDB" w14:textId="077F3E7D" w:rsidR="00AC2B58" w:rsidRPr="00E707BB" w:rsidRDefault="00AC2B58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2.</w:t>
            </w:r>
          </w:p>
        </w:tc>
        <w:tc>
          <w:tcPr>
            <w:tcW w:w="5386" w:type="dxa"/>
          </w:tcPr>
          <w:p w14:paraId="294B50B1" w14:textId="72E0131B" w:rsidR="000C210F" w:rsidRPr="00E707BB" w:rsidRDefault="00D73066" w:rsidP="00E419E5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 xml:space="preserve">Кількість </w:t>
            </w:r>
            <w:r w:rsidR="00857E4C" w:rsidRPr="00E707BB">
              <w:rPr>
                <w:rFonts w:cs="Times New Roman"/>
                <w:szCs w:val="28"/>
                <w:lang w:val="uk-UA"/>
              </w:rPr>
              <w:t>свердловин</w:t>
            </w:r>
            <w:r w:rsidRPr="00E707BB">
              <w:rPr>
                <w:rFonts w:cs="Times New Roman"/>
                <w:szCs w:val="28"/>
                <w:lang w:val="uk-UA"/>
              </w:rPr>
              <w:t xml:space="preserve">, які </w:t>
            </w:r>
            <w:r w:rsidR="00857E4C" w:rsidRPr="00E707BB">
              <w:rPr>
                <w:rFonts w:cs="Times New Roman"/>
                <w:szCs w:val="28"/>
                <w:lang w:val="uk-UA"/>
              </w:rPr>
              <w:t>внесені</w:t>
            </w:r>
            <w:r w:rsidRPr="00E707BB">
              <w:rPr>
                <w:rFonts w:cs="Times New Roman"/>
                <w:szCs w:val="28"/>
                <w:lang w:val="uk-UA"/>
              </w:rPr>
              <w:t xml:space="preserve"> до Державного реєстру </w:t>
            </w:r>
            <w:r w:rsidR="00E419E5" w:rsidRPr="00E707BB">
              <w:rPr>
                <w:rFonts w:cs="Times New Roman"/>
                <w:szCs w:val="28"/>
                <w:lang w:val="uk-UA"/>
              </w:rPr>
              <w:t>артезіанських свердловин.</w:t>
            </w:r>
          </w:p>
        </w:tc>
        <w:tc>
          <w:tcPr>
            <w:tcW w:w="3827" w:type="dxa"/>
          </w:tcPr>
          <w:p w14:paraId="5EAFE914" w14:textId="77777777" w:rsidR="00A169B7" w:rsidRPr="00E707BB" w:rsidRDefault="00A169B7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49DFBE1D" w14:textId="77777777" w:rsidR="00857E4C" w:rsidRPr="00E707BB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64676DE6" w14:textId="77777777" w:rsidR="00857E4C" w:rsidRPr="00E707BB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496371DD" w14:textId="1112EBB6" w:rsidR="00857E4C" w:rsidRPr="00E707BB" w:rsidRDefault="00857E4C" w:rsidP="008B20CD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44</w:t>
            </w:r>
            <w:r w:rsidR="008B20CD" w:rsidRPr="00E707BB">
              <w:rPr>
                <w:rFonts w:cs="Times New Roman"/>
                <w:szCs w:val="28"/>
                <w:lang w:val="uk-UA"/>
              </w:rPr>
              <w:t>24</w:t>
            </w:r>
          </w:p>
        </w:tc>
      </w:tr>
      <w:tr w:rsidR="00857E4C" w:rsidRPr="00E707BB" w14:paraId="6D7C9B5B" w14:textId="77777777" w:rsidTr="00A317BE">
        <w:trPr>
          <w:trHeight w:val="796"/>
        </w:trPr>
        <w:tc>
          <w:tcPr>
            <w:tcW w:w="426" w:type="dxa"/>
          </w:tcPr>
          <w:p w14:paraId="122D4E1C" w14:textId="32B56E33" w:rsidR="00857E4C" w:rsidRPr="00E707BB" w:rsidRDefault="00857E4C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3.</w:t>
            </w:r>
          </w:p>
        </w:tc>
        <w:tc>
          <w:tcPr>
            <w:tcW w:w="5386" w:type="dxa"/>
          </w:tcPr>
          <w:p w14:paraId="268F08BB" w14:textId="73DE4CE2" w:rsidR="00857E4C" w:rsidRPr="00E707BB" w:rsidRDefault="00857E4C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та пов’язаних із виконанням вимог чинної постанови</w:t>
            </w:r>
            <w:r w:rsidR="00E419E5" w:rsidRPr="00E707BB">
              <w:rPr>
                <w:rFonts w:cs="Times New Roman"/>
                <w:szCs w:val="28"/>
                <w:lang w:val="uk-UA"/>
              </w:rPr>
              <w:t xml:space="preserve"> про не подання копій паспортів до </w:t>
            </w:r>
            <w:proofErr w:type="spellStart"/>
            <w:r w:rsidR="00E419E5" w:rsidRPr="00E707BB">
              <w:rPr>
                <w:rFonts w:cs="Times New Roman"/>
                <w:szCs w:val="28"/>
                <w:lang w:val="uk-UA"/>
              </w:rPr>
              <w:t>Держгеонадр</w:t>
            </w:r>
            <w:proofErr w:type="spellEnd"/>
            <w:r w:rsidRPr="00E707BB">
              <w:rPr>
                <w:rFonts w:cs="Times New Roman"/>
                <w:szCs w:val="28"/>
                <w:lang w:val="uk-UA"/>
              </w:rPr>
              <w:t>.</w:t>
            </w:r>
          </w:p>
          <w:p w14:paraId="20A2EE48" w14:textId="77777777" w:rsidR="00857E4C" w:rsidRPr="00E707BB" w:rsidRDefault="00857E4C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</w:p>
          <w:p w14:paraId="2B41662C" w14:textId="32E70CD7" w:rsidR="00E17800" w:rsidRPr="00E707BB" w:rsidRDefault="00E17800" w:rsidP="00E1780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E707BB">
              <w:rPr>
                <w:rFonts w:cs="Times New Roman"/>
                <w:sz w:val="24"/>
                <w:szCs w:val="24"/>
                <w:lang w:val="uk-UA"/>
              </w:rPr>
              <w:t xml:space="preserve">Примітка: </w:t>
            </w:r>
            <w:r w:rsidRPr="00E707BB">
              <w:rPr>
                <w:rFonts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707BB">
              <w:rPr>
                <w:rFonts w:cs="Times New Roman"/>
                <w:sz w:val="24"/>
                <w:szCs w:val="24"/>
                <w:lang w:val="uk-UA"/>
              </w:rPr>
              <w:t xml:space="preserve"> Заходи державного нагляду (контролю) не проводилися у зв’язку із введенням військового стану відповідно до Указу Президента України від 24.02.2022</w:t>
            </w:r>
            <w:r w:rsidRPr="00E707BB">
              <w:rPr>
                <w:rFonts w:cs="Times New Roman"/>
                <w:sz w:val="24"/>
                <w:szCs w:val="24"/>
                <w:lang w:val="uk-UA"/>
              </w:rPr>
              <w:br/>
              <w:t>№ 64/2022 «Про введення воєнного стану в Україні», затвердженого Законом України «Про затвердження Указу Президента України ««Про введення воєнного стану в Україні» від 24.02.2022 № 2102-ІХ (із змінами) та забороною, встановленою постановою Кабінету Міністрів України від 13.03.2022</w:t>
            </w:r>
            <w:r w:rsidRPr="00E707BB">
              <w:rPr>
                <w:rFonts w:cs="Times New Roman"/>
                <w:sz w:val="24"/>
                <w:szCs w:val="24"/>
                <w:lang w:val="uk-UA"/>
              </w:rPr>
              <w:br/>
              <w:t>№ 303 «Про припинення заходів державного нагляду (контролю) і державного ринкового нагляду в умовах воєнного стану».</w:t>
            </w:r>
          </w:p>
          <w:p w14:paraId="6F1A356D" w14:textId="5001624B" w:rsidR="00E17800" w:rsidRPr="00E707BB" w:rsidRDefault="00E17800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5B808BB6" w14:textId="7FE89EAF" w:rsidR="00857E4C" w:rsidRPr="00E707BB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vertAlign w:val="superscript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0</w:t>
            </w:r>
            <w:r w:rsidR="00E17800" w:rsidRPr="00E707BB">
              <w:rPr>
                <w:rFonts w:cs="Times New Roman"/>
                <w:szCs w:val="28"/>
                <w:vertAlign w:val="superscript"/>
                <w:lang w:val="uk-UA"/>
              </w:rPr>
              <w:t>1</w:t>
            </w:r>
          </w:p>
        </w:tc>
      </w:tr>
      <w:tr w:rsidR="00AC2B58" w:rsidRPr="00E707BB" w14:paraId="1C24DE02" w14:textId="77777777" w:rsidTr="00EE74B0">
        <w:tc>
          <w:tcPr>
            <w:tcW w:w="9639" w:type="dxa"/>
            <w:gridSpan w:val="3"/>
          </w:tcPr>
          <w:p w14:paraId="71EC9534" w14:textId="42AEB421" w:rsidR="00AC2B58" w:rsidRPr="00E707BB" w:rsidRDefault="00AC2B58" w:rsidP="005708E5">
            <w:pPr>
              <w:spacing w:line="280" w:lineRule="exact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E707BB">
              <w:rPr>
                <w:rFonts w:cs="Times New Roman"/>
                <w:b/>
                <w:szCs w:val="28"/>
                <w:lang w:val="uk-UA"/>
              </w:rPr>
              <w:t>Якісні показники</w:t>
            </w:r>
          </w:p>
        </w:tc>
      </w:tr>
      <w:tr w:rsidR="00AC2B58" w:rsidRPr="00E707BB" w14:paraId="18E2BC76" w14:textId="77777777" w:rsidTr="00A317BE">
        <w:tc>
          <w:tcPr>
            <w:tcW w:w="426" w:type="dxa"/>
          </w:tcPr>
          <w:p w14:paraId="4D65BEC7" w14:textId="2BD2B14A" w:rsidR="00AC2B58" w:rsidRPr="00E707BB" w:rsidRDefault="00857E4C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>4</w:t>
            </w:r>
            <w:r w:rsidR="00AC2B58" w:rsidRPr="00E707BB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5386" w:type="dxa"/>
          </w:tcPr>
          <w:p w14:paraId="5354C025" w14:textId="77777777" w:rsidR="00AC2B58" w:rsidRPr="00E707BB" w:rsidRDefault="00AC2B58" w:rsidP="005708E5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pacing w:val="-12"/>
                <w:szCs w:val="28"/>
                <w:lang w:val="uk-UA"/>
              </w:rPr>
              <w:t>Рівень поінформованості суб’єктів господарювання</w:t>
            </w:r>
            <w:r w:rsidRPr="00E707BB">
              <w:rPr>
                <w:rFonts w:cs="Times New Roman"/>
                <w:szCs w:val="28"/>
                <w:lang w:val="uk-UA"/>
              </w:rPr>
              <w:t xml:space="preserve"> щодо основних положень регуляторного </w:t>
            </w:r>
            <w:proofErr w:type="spellStart"/>
            <w:r w:rsidRPr="00E707BB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3827" w:type="dxa"/>
          </w:tcPr>
          <w:p w14:paraId="74C3DC2E" w14:textId="296C3581" w:rsidR="00AC2B58" w:rsidRPr="00E707BB" w:rsidRDefault="00AC2B58" w:rsidP="00ED6AA5">
            <w:pPr>
              <w:spacing w:line="280" w:lineRule="exact"/>
              <w:rPr>
                <w:rFonts w:cs="Times New Roman"/>
                <w:szCs w:val="28"/>
                <w:lang w:val="uk-UA"/>
              </w:rPr>
            </w:pPr>
            <w:r w:rsidRPr="00E707BB">
              <w:rPr>
                <w:rFonts w:cs="Times New Roman"/>
                <w:szCs w:val="28"/>
                <w:lang w:val="uk-UA"/>
              </w:rPr>
              <w:t xml:space="preserve">Високий. </w:t>
            </w:r>
            <w:r w:rsidR="00E17800" w:rsidRPr="00E707BB">
              <w:rPr>
                <w:rFonts w:cs="Times New Roman"/>
                <w:szCs w:val="28"/>
                <w:lang w:val="uk-UA"/>
              </w:rPr>
              <w:t>Постанову</w:t>
            </w:r>
            <w:r w:rsidRPr="00E707BB">
              <w:rPr>
                <w:rFonts w:cs="Times New Roman"/>
                <w:szCs w:val="28"/>
                <w:lang w:val="uk-UA"/>
              </w:rPr>
              <w:t xml:space="preserve"> опубліковано</w:t>
            </w:r>
            <w:r w:rsidR="005E6D58" w:rsidRPr="00E707BB">
              <w:rPr>
                <w:rFonts w:cs="Times New Roman"/>
                <w:szCs w:val="28"/>
                <w:lang w:val="uk-UA"/>
              </w:rPr>
              <w:t xml:space="preserve"> </w:t>
            </w:r>
            <w:r w:rsidRPr="00E707BB">
              <w:rPr>
                <w:rFonts w:cs="Times New Roman"/>
                <w:szCs w:val="28"/>
                <w:lang w:val="uk-UA"/>
              </w:rPr>
              <w:t>в Офіційному віснику України</w:t>
            </w:r>
            <w:r w:rsidRPr="00E707BB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E6D58" w:rsidRPr="00E707BB">
              <w:rPr>
                <w:rFonts w:cs="Times New Roman"/>
                <w:szCs w:val="28"/>
                <w:lang w:val="uk-UA"/>
              </w:rPr>
              <w:t xml:space="preserve">  від </w:t>
            </w:r>
            <w:r w:rsidR="00847DD8" w:rsidRPr="00E707BB">
              <w:rPr>
                <w:rStyle w:val="dat"/>
                <w:rFonts w:cs="Times New Roman"/>
                <w:szCs w:val="28"/>
                <w:lang w:val="uk-UA"/>
              </w:rPr>
              <w:t>10</w:t>
            </w:r>
            <w:r w:rsidR="005E6D58" w:rsidRPr="00E707BB">
              <w:rPr>
                <w:rStyle w:val="dat"/>
                <w:rFonts w:cs="Times New Roman"/>
                <w:szCs w:val="28"/>
                <w:lang w:val="uk-UA"/>
              </w:rPr>
              <w:t>.08.2023</w:t>
            </w:r>
            <w:r w:rsidR="005E6D58" w:rsidRPr="00E707BB">
              <w:rPr>
                <w:rFonts w:cs="Times New Roman"/>
                <w:szCs w:val="28"/>
                <w:lang w:val="uk-UA"/>
              </w:rPr>
              <w:t xml:space="preserve"> - </w:t>
            </w:r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2023 р., № </w:t>
            </w:r>
            <w:r w:rsidR="00847DD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68</w:t>
            </w:r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</w:t>
            </w:r>
            <w:proofErr w:type="spellStart"/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стор</w:t>
            </w:r>
            <w:proofErr w:type="spellEnd"/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. </w:t>
            </w:r>
            <w:r w:rsidR="00ED6AA5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53</w:t>
            </w:r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стаття </w:t>
            </w:r>
            <w:r w:rsidR="00847DD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39</w:t>
            </w:r>
            <w:r w:rsidR="00ED6AA5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35</w:t>
            </w:r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код </w:t>
            </w:r>
            <w:proofErr w:type="spellStart"/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акта</w:t>
            </w:r>
            <w:proofErr w:type="spellEnd"/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 119</w:t>
            </w:r>
            <w:r w:rsidR="00847DD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4</w:t>
            </w:r>
            <w:r w:rsidR="00ED6AA5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11</w:t>
            </w:r>
            <w:r w:rsidR="005E6D58" w:rsidRPr="00E707BB">
              <w:rPr>
                <w:rStyle w:val="ac"/>
                <w:rFonts w:cs="Times New Roman"/>
                <w:b w:val="0"/>
                <w:szCs w:val="28"/>
                <w:lang w:val="uk-UA"/>
              </w:rPr>
              <w:t>/2023</w:t>
            </w:r>
            <w:r w:rsidR="005E6D58" w:rsidRPr="00E707BB">
              <w:rPr>
                <w:rFonts w:cs="Times New Roman"/>
                <w:b/>
                <w:szCs w:val="28"/>
                <w:lang w:val="uk-UA"/>
              </w:rPr>
              <w:t xml:space="preserve"> </w:t>
            </w:r>
            <w:r w:rsidRPr="00E707BB">
              <w:rPr>
                <w:rFonts w:cs="Times New Roman"/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Pr="00E707BB">
              <w:rPr>
                <w:rFonts w:cs="Times New Roman"/>
                <w:spacing w:val="-6"/>
                <w:szCs w:val="28"/>
                <w:lang w:val="uk-UA"/>
              </w:rPr>
              <w:t>вебсайті</w:t>
            </w:r>
            <w:proofErr w:type="spellEnd"/>
            <w:r w:rsidRPr="00E707BB">
              <w:rPr>
                <w:rFonts w:cs="Times New Roman"/>
                <w:spacing w:val="-6"/>
                <w:szCs w:val="28"/>
                <w:lang w:val="uk-UA"/>
              </w:rPr>
              <w:t xml:space="preserve"> Верховної Ради України</w:t>
            </w:r>
            <w:r w:rsidR="005E6D58" w:rsidRPr="00E707BB">
              <w:rPr>
                <w:rFonts w:cs="Times New Roman"/>
                <w:spacing w:val="-6"/>
                <w:szCs w:val="28"/>
                <w:lang w:val="uk-UA"/>
              </w:rPr>
              <w:t xml:space="preserve"> </w:t>
            </w:r>
            <w:r w:rsidRPr="00E707BB">
              <w:rPr>
                <w:rFonts w:cs="Times New Roman"/>
                <w:szCs w:val="28"/>
                <w:lang w:val="uk-UA"/>
              </w:rPr>
              <w:t xml:space="preserve">за </w:t>
            </w:r>
            <w:r w:rsidRPr="00E707BB">
              <w:rPr>
                <w:rFonts w:cs="Times New Roman"/>
                <w:szCs w:val="28"/>
                <w:lang w:val="uk-UA"/>
              </w:rPr>
              <w:lastRenderedPageBreak/>
              <w:t>посиланням:</w:t>
            </w:r>
            <w:r w:rsidR="00893332" w:rsidRPr="00E707BB">
              <w:rPr>
                <w:rFonts w:cs="Times New Roman"/>
                <w:szCs w:val="28"/>
                <w:lang w:val="uk-UA"/>
              </w:rPr>
              <w:t xml:space="preserve"> </w:t>
            </w:r>
            <w:hyperlink r:id="rId7" w:anchor="Text" w:history="1">
              <w:r w:rsidR="00E707BB" w:rsidRPr="000C73DD">
                <w:rPr>
                  <w:rStyle w:val="a4"/>
                  <w:rFonts w:cs="Times New Roman"/>
                  <w:szCs w:val="28"/>
                  <w:lang w:val="uk-UA"/>
                </w:rPr>
                <w:t>https://zakon.rada.gov.ua/laws/show/703-2023-%D0%BF#Text</w:t>
              </w:r>
            </w:hyperlink>
            <w:r w:rsidR="00E707BB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</w:tr>
    </w:tbl>
    <w:p w14:paraId="3AA80F40" w14:textId="77777777" w:rsidR="00847DD8" w:rsidRPr="00E707BB" w:rsidRDefault="00847DD8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</w:p>
    <w:p w14:paraId="2BAC2A31" w14:textId="4DCFDEED" w:rsidR="00DD0C60" w:rsidRPr="00E707BB" w:rsidRDefault="00DD0C60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E707BB">
        <w:rPr>
          <w:rFonts w:cs="Times New Roman"/>
          <w:b/>
          <w:szCs w:val="28"/>
          <w:lang w:val="uk-UA"/>
        </w:rPr>
        <w:t xml:space="preserve">9. </w:t>
      </w:r>
      <w:r w:rsidRPr="00E707BB">
        <w:rPr>
          <w:rFonts w:cs="Times New Roman"/>
          <w:b/>
          <w:spacing w:val="-4"/>
          <w:szCs w:val="28"/>
          <w:lang w:val="uk-UA"/>
        </w:rPr>
        <w:t>Оцінка результатів реалізації регуляторного</w:t>
      </w:r>
      <w:r w:rsidRPr="00E707BB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E707BB">
        <w:rPr>
          <w:rFonts w:cs="Times New Roman"/>
          <w:b/>
          <w:szCs w:val="28"/>
          <w:lang w:val="uk-UA"/>
        </w:rPr>
        <w:t>акта</w:t>
      </w:r>
      <w:proofErr w:type="spellEnd"/>
      <w:r w:rsidRPr="00E707BB">
        <w:rPr>
          <w:rFonts w:cs="Times New Roman"/>
          <w:b/>
          <w:szCs w:val="28"/>
          <w:lang w:val="uk-UA"/>
        </w:rPr>
        <w:t xml:space="preserve"> та ступеня досягнення визначених цілей</w:t>
      </w:r>
    </w:p>
    <w:p w14:paraId="709A209C" w14:textId="77777777" w:rsidR="00A169B7" w:rsidRPr="00E707BB" w:rsidRDefault="00A169B7" w:rsidP="00A169B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E707BB">
        <w:rPr>
          <w:rFonts w:cs="Times New Roman"/>
          <w:szCs w:val="28"/>
          <w:lang w:val="uk-UA"/>
        </w:rPr>
        <w:t>акта</w:t>
      </w:r>
      <w:proofErr w:type="spellEnd"/>
      <w:r w:rsidRPr="00E707BB">
        <w:rPr>
          <w:rFonts w:cs="Times New Roman"/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2AE1F869" w14:textId="3380BCA6" w:rsidR="00C711D5" w:rsidRPr="00E707BB" w:rsidRDefault="00C711D5" w:rsidP="00A169B7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E707BB">
        <w:rPr>
          <w:rFonts w:cs="Times New Roman"/>
          <w:szCs w:val="28"/>
          <w:lang w:val="uk-UA"/>
        </w:rPr>
        <w:t>,</w:t>
      </w:r>
      <w:r w:rsidRPr="00E707BB">
        <w:rPr>
          <w:rFonts w:cs="Times New Roman"/>
          <w:szCs w:val="28"/>
          <w:lang w:val="uk-UA"/>
        </w:rPr>
        <w:t xml:space="preserve"> визначені законодавством, а саме:</w:t>
      </w:r>
    </w:p>
    <w:p w14:paraId="3A038AEB" w14:textId="730AB79A" w:rsidR="00575BDF" w:rsidRPr="00E707BB" w:rsidRDefault="00DB4E4B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повторне відстеження</w:t>
      </w:r>
      <w:r w:rsidR="005E7488" w:rsidRPr="00E707BB">
        <w:rPr>
          <w:rFonts w:cs="Times New Roman"/>
          <w:szCs w:val="28"/>
          <w:lang w:val="uk-UA"/>
        </w:rPr>
        <w:t xml:space="preserve"> – </w:t>
      </w:r>
      <w:r w:rsidR="00ED5B31" w:rsidRPr="00E707BB">
        <w:rPr>
          <w:rFonts w:cs="Times New Roman"/>
          <w:szCs w:val="28"/>
          <w:lang w:val="uk-UA"/>
        </w:rPr>
        <w:t xml:space="preserve">не пізніше двох років </w:t>
      </w:r>
      <w:r w:rsidR="00504C1E" w:rsidRPr="00E707BB">
        <w:rPr>
          <w:rFonts w:cs="Times New Roman"/>
          <w:szCs w:val="28"/>
          <w:lang w:val="uk-UA"/>
        </w:rPr>
        <w:t>з дня набрання чинності цим регуляторним актом</w:t>
      </w:r>
      <w:r w:rsidRPr="00E707BB">
        <w:rPr>
          <w:rFonts w:cs="Times New Roman"/>
          <w:szCs w:val="28"/>
          <w:lang w:val="uk-UA"/>
        </w:rPr>
        <w:t>;</w:t>
      </w:r>
    </w:p>
    <w:p w14:paraId="34F52ABF" w14:textId="1D5A61A2" w:rsidR="0087460B" w:rsidRPr="00E707BB" w:rsidRDefault="00DB4E4B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E707BB">
        <w:rPr>
          <w:rFonts w:cs="Times New Roman"/>
          <w:szCs w:val="28"/>
          <w:lang w:val="uk-UA"/>
        </w:rPr>
        <w:t>періодич</w:t>
      </w:r>
      <w:r w:rsidR="005E7488" w:rsidRPr="00E707BB">
        <w:rPr>
          <w:rFonts w:cs="Times New Roman"/>
          <w:szCs w:val="28"/>
          <w:lang w:val="uk-UA"/>
        </w:rPr>
        <w:t xml:space="preserve">не відстеження – </w:t>
      </w:r>
      <w:r w:rsidRPr="00E707BB">
        <w:rPr>
          <w:rFonts w:cs="Times New Roman"/>
          <w:szCs w:val="28"/>
          <w:lang w:val="uk-UA"/>
        </w:rPr>
        <w:t>один раз на кожні три роки</w:t>
      </w:r>
      <w:r w:rsidR="005E7488" w:rsidRPr="00E707BB">
        <w:rPr>
          <w:rFonts w:cs="Times New Roman"/>
          <w:szCs w:val="28"/>
          <w:lang w:val="uk-UA"/>
        </w:rPr>
        <w:t>,</w:t>
      </w:r>
      <w:r w:rsidRPr="00E707BB">
        <w:rPr>
          <w:rFonts w:cs="Times New Roman"/>
          <w:szCs w:val="28"/>
          <w:lang w:val="uk-UA"/>
        </w:rPr>
        <w:t xml:space="preserve"> починаючи з дня закінчення заходів з повторного відстеже</w:t>
      </w:r>
      <w:r w:rsidR="00CA5763" w:rsidRPr="00E707BB">
        <w:rPr>
          <w:rFonts w:cs="Times New Roman"/>
          <w:szCs w:val="28"/>
          <w:lang w:val="uk-UA"/>
        </w:rPr>
        <w:t xml:space="preserve">ння результативності цього </w:t>
      </w:r>
      <w:proofErr w:type="spellStart"/>
      <w:r w:rsidR="00CA5763" w:rsidRPr="00E707BB">
        <w:rPr>
          <w:rFonts w:cs="Times New Roman"/>
          <w:szCs w:val="28"/>
          <w:lang w:val="uk-UA"/>
        </w:rPr>
        <w:t>акта</w:t>
      </w:r>
      <w:proofErr w:type="spellEnd"/>
      <w:r w:rsidR="00CA5763" w:rsidRPr="00E707BB">
        <w:rPr>
          <w:rFonts w:cs="Times New Roman"/>
          <w:szCs w:val="28"/>
          <w:lang w:val="uk-UA"/>
        </w:rPr>
        <w:t>.</w:t>
      </w:r>
      <w:r w:rsidR="00ED5B31" w:rsidRPr="00E707BB">
        <w:rPr>
          <w:rFonts w:cs="Times New Roman"/>
          <w:szCs w:val="28"/>
          <w:lang w:val="uk-UA"/>
        </w:rPr>
        <w:t xml:space="preserve"> </w:t>
      </w:r>
    </w:p>
    <w:p w14:paraId="275C1564" w14:textId="77EE90BF" w:rsidR="005E7488" w:rsidRPr="00E707BB" w:rsidRDefault="005E7488" w:rsidP="000767A9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1633DAFD" w14:textId="77777777" w:rsidR="00E17800" w:rsidRPr="00E707BB" w:rsidRDefault="00E17800" w:rsidP="000767A9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37CC04BE" w14:textId="77777777" w:rsidR="00EA7B73" w:rsidRPr="00E707BB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E707B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8DEC717" w14:textId="0527EF01" w:rsidR="0087460B" w:rsidRPr="00E707BB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E707B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E707B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E707BB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5E7488" w:rsidRPr="00E707B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E707BB">
        <w:rPr>
          <w:rFonts w:eastAsia="Times New Roman" w:cs="Times New Roman"/>
          <w:b/>
          <w:szCs w:val="28"/>
          <w:lang w:val="uk-UA" w:eastAsia="ru-RU"/>
        </w:rPr>
        <w:t>Роман ОПІМАХ</w:t>
      </w:r>
    </w:p>
    <w:sectPr w:rsidR="0087460B" w:rsidRPr="00E707BB" w:rsidSect="00435C5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C66D" w14:textId="77777777" w:rsidR="002C0A60" w:rsidRDefault="002C0A60" w:rsidP="00433293">
      <w:pPr>
        <w:spacing w:after="0" w:line="240" w:lineRule="auto"/>
      </w:pPr>
      <w:r>
        <w:separator/>
      </w:r>
    </w:p>
  </w:endnote>
  <w:endnote w:type="continuationSeparator" w:id="0">
    <w:p w14:paraId="21F0A308" w14:textId="77777777" w:rsidR="002C0A60" w:rsidRDefault="002C0A60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967D" w14:textId="77777777" w:rsidR="002C0A60" w:rsidRDefault="002C0A60" w:rsidP="00433293">
      <w:pPr>
        <w:spacing w:after="0" w:line="240" w:lineRule="auto"/>
      </w:pPr>
      <w:r>
        <w:separator/>
      </w:r>
    </w:p>
  </w:footnote>
  <w:footnote w:type="continuationSeparator" w:id="0">
    <w:p w14:paraId="3AB5063D" w14:textId="77777777" w:rsidR="002C0A60" w:rsidRDefault="002C0A60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6A6F137C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4E0">
          <w:rPr>
            <w:noProof/>
          </w:rPr>
          <w:t>3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957F0"/>
    <w:rsid w:val="000A668F"/>
    <w:rsid w:val="000B14E0"/>
    <w:rsid w:val="000B3F04"/>
    <w:rsid w:val="000B5B4A"/>
    <w:rsid w:val="000C210F"/>
    <w:rsid w:val="000E0F87"/>
    <w:rsid w:val="00130E88"/>
    <w:rsid w:val="001322B5"/>
    <w:rsid w:val="00151E19"/>
    <w:rsid w:val="00173F70"/>
    <w:rsid w:val="00197002"/>
    <w:rsid w:val="001C3993"/>
    <w:rsid w:val="001D7FFC"/>
    <w:rsid w:val="002066E1"/>
    <w:rsid w:val="00211974"/>
    <w:rsid w:val="002215E9"/>
    <w:rsid w:val="00227D6D"/>
    <w:rsid w:val="002635C2"/>
    <w:rsid w:val="0028256D"/>
    <w:rsid w:val="002A0886"/>
    <w:rsid w:val="002A36A8"/>
    <w:rsid w:val="002C0A60"/>
    <w:rsid w:val="002D0A73"/>
    <w:rsid w:val="002E2471"/>
    <w:rsid w:val="002E5FBA"/>
    <w:rsid w:val="002F5960"/>
    <w:rsid w:val="0030127B"/>
    <w:rsid w:val="003064D6"/>
    <w:rsid w:val="00307004"/>
    <w:rsid w:val="00325AEC"/>
    <w:rsid w:val="003572A0"/>
    <w:rsid w:val="003770B3"/>
    <w:rsid w:val="003A033A"/>
    <w:rsid w:val="003C2879"/>
    <w:rsid w:val="003E36E5"/>
    <w:rsid w:val="003F7AE5"/>
    <w:rsid w:val="00400B94"/>
    <w:rsid w:val="00413657"/>
    <w:rsid w:val="00426BCE"/>
    <w:rsid w:val="00433293"/>
    <w:rsid w:val="00433A16"/>
    <w:rsid w:val="00434693"/>
    <w:rsid w:val="00435C5D"/>
    <w:rsid w:val="004364FA"/>
    <w:rsid w:val="0047092F"/>
    <w:rsid w:val="00482EDA"/>
    <w:rsid w:val="00486E30"/>
    <w:rsid w:val="004874FC"/>
    <w:rsid w:val="004926B2"/>
    <w:rsid w:val="004B2FED"/>
    <w:rsid w:val="004B3E33"/>
    <w:rsid w:val="004D3EBD"/>
    <w:rsid w:val="004F51CC"/>
    <w:rsid w:val="00504C1E"/>
    <w:rsid w:val="005139B0"/>
    <w:rsid w:val="00540C85"/>
    <w:rsid w:val="00550D0B"/>
    <w:rsid w:val="00566C64"/>
    <w:rsid w:val="005708E5"/>
    <w:rsid w:val="00573F14"/>
    <w:rsid w:val="00575BDF"/>
    <w:rsid w:val="00591606"/>
    <w:rsid w:val="005A5AE9"/>
    <w:rsid w:val="005A7470"/>
    <w:rsid w:val="005B12DC"/>
    <w:rsid w:val="005C3E0D"/>
    <w:rsid w:val="005E6D58"/>
    <w:rsid w:val="005E7488"/>
    <w:rsid w:val="0062177F"/>
    <w:rsid w:val="006527D5"/>
    <w:rsid w:val="006642B7"/>
    <w:rsid w:val="00681F5F"/>
    <w:rsid w:val="00681F6A"/>
    <w:rsid w:val="00685DE0"/>
    <w:rsid w:val="0069119C"/>
    <w:rsid w:val="006B19DC"/>
    <w:rsid w:val="006C33F5"/>
    <w:rsid w:val="006D1940"/>
    <w:rsid w:val="006E490B"/>
    <w:rsid w:val="006F0EAF"/>
    <w:rsid w:val="006F652C"/>
    <w:rsid w:val="0072024E"/>
    <w:rsid w:val="00754FCA"/>
    <w:rsid w:val="007566EC"/>
    <w:rsid w:val="007854F2"/>
    <w:rsid w:val="007B72EE"/>
    <w:rsid w:val="007E66B7"/>
    <w:rsid w:val="007F3982"/>
    <w:rsid w:val="00804AE0"/>
    <w:rsid w:val="00817927"/>
    <w:rsid w:val="008211D6"/>
    <w:rsid w:val="00831BB3"/>
    <w:rsid w:val="0083757E"/>
    <w:rsid w:val="00845C89"/>
    <w:rsid w:val="00847DD8"/>
    <w:rsid w:val="00857E4C"/>
    <w:rsid w:val="00866CAD"/>
    <w:rsid w:val="0087460B"/>
    <w:rsid w:val="00883319"/>
    <w:rsid w:val="00891BBB"/>
    <w:rsid w:val="0089295A"/>
    <w:rsid w:val="00893332"/>
    <w:rsid w:val="008A0C70"/>
    <w:rsid w:val="008A3000"/>
    <w:rsid w:val="008B20CD"/>
    <w:rsid w:val="008B59C1"/>
    <w:rsid w:val="008E553D"/>
    <w:rsid w:val="008E75CE"/>
    <w:rsid w:val="008F5BF7"/>
    <w:rsid w:val="00950644"/>
    <w:rsid w:val="00970A62"/>
    <w:rsid w:val="009A175D"/>
    <w:rsid w:val="009C1AB2"/>
    <w:rsid w:val="009C6BAA"/>
    <w:rsid w:val="00A169B7"/>
    <w:rsid w:val="00A25467"/>
    <w:rsid w:val="00A317BE"/>
    <w:rsid w:val="00A43710"/>
    <w:rsid w:val="00A51468"/>
    <w:rsid w:val="00A53F83"/>
    <w:rsid w:val="00AB36D8"/>
    <w:rsid w:val="00AC2B58"/>
    <w:rsid w:val="00AF08E7"/>
    <w:rsid w:val="00B11E1C"/>
    <w:rsid w:val="00B365AF"/>
    <w:rsid w:val="00B367E1"/>
    <w:rsid w:val="00B51969"/>
    <w:rsid w:val="00B627B9"/>
    <w:rsid w:val="00B94217"/>
    <w:rsid w:val="00BA1E89"/>
    <w:rsid w:val="00BD56E7"/>
    <w:rsid w:val="00BE048A"/>
    <w:rsid w:val="00BE5F44"/>
    <w:rsid w:val="00C05C54"/>
    <w:rsid w:val="00C07208"/>
    <w:rsid w:val="00C24F55"/>
    <w:rsid w:val="00C711D5"/>
    <w:rsid w:val="00C74283"/>
    <w:rsid w:val="00C77675"/>
    <w:rsid w:val="00C912AB"/>
    <w:rsid w:val="00CA5763"/>
    <w:rsid w:val="00CA738C"/>
    <w:rsid w:val="00CB0198"/>
    <w:rsid w:val="00CE4E79"/>
    <w:rsid w:val="00CF1E1A"/>
    <w:rsid w:val="00D24FD3"/>
    <w:rsid w:val="00D371FC"/>
    <w:rsid w:val="00D44A3A"/>
    <w:rsid w:val="00D73066"/>
    <w:rsid w:val="00D80C8A"/>
    <w:rsid w:val="00D835ED"/>
    <w:rsid w:val="00DA0BD1"/>
    <w:rsid w:val="00DA516D"/>
    <w:rsid w:val="00DB1E5F"/>
    <w:rsid w:val="00DB4E4B"/>
    <w:rsid w:val="00DC3A46"/>
    <w:rsid w:val="00DD0C60"/>
    <w:rsid w:val="00DF0310"/>
    <w:rsid w:val="00E000A3"/>
    <w:rsid w:val="00E070F0"/>
    <w:rsid w:val="00E1302F"/>
    <w:rsid w:val="00E17800"/>
    <w:rsid w:val="00E3627B"/>
    <w:rsid w:val="00E419E5"/>
    <w:rsid w:val="00E707BB"/>
    <w:rsid w:val="00E853F9"/>
    <w:rsid w:val="00E85D23"/>
    <w:rsid w:val="00EA3A6B"/>
    <w:rsid w:val="00EA4D4B"/>
    <w:rsid w:val="00EA7B73"/>
    <w:rsid w:val="00ED5B31"/>
    <w:rsid w:val="00ED6AA5"/>
    <w:rsid w:val="00EE74B0"/>
    <w:rsid w:val="00F05DDB"/>
    <w:rsid w:val="00F17085"/>
    <w:rsid w:val="00F34672"/>
    <w:rsid w:val="00F35EB7"/>
    <w:rsid w:val="00F5005B"/>
    <w:rsid w:val="00F56247"/>
    <w:rsid w:val="00F7642C"/>
    <w:rsid w:val="00F828E6"/>
    <w:rsid w:val="00F86C46"/>
    <w:rsid w:val="00F92336"/>
    <w:rsid w:val="00FB3FD5"/>
    <w:rsid w:val="00FB5DC7"/>
    <w:rsid w:val="00FC58DE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  <w:style w:type="character" w:customStyle="1" w:styleId="dat">
    <w:name w:val="dat"/>
    <w:basedOn w:val="a0"/>
    <w:rsid w:val="005E6D58"/>
  </w:style>
  <w:style w:type="paragraph" w:customStyle="1" w:styleId="Default">
    <w:name w:val="Default"/>
    <w:rsid w:val="003A03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03-202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2</cp:revision>
  <cp:lastPrinted>2022-02-23T09:56:00Z</cp:lastPrinted>
  <dcterms:created xsi:type="dcterms:W3CDTF">2024-08-07T11:29:00Z</dcterms:created>
  <dcterms:modified xsi:type="dcterms:W3CDTF">2024-08-07T11:29:00Z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