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9C" w:rsidRPr="00D70514" w:rsidRDefault="008A709C" w:rsidP="00C83FCB">
      <w:pPr>
        <w:widowControl w:val="0"/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:rsidR="00F75C5A" w:rsidRPr="00D70514" w:rsidRDefault="00F75C5A" w:rsidP="00D0174A">
      <w:pPr>
        <w:shd w:val="clear" w:color="auto" w:fill="FFFFFF"/>
        <w:suppressAutoHyphens/>
        <w:spacing w:line="100" w:lineRule="atLeast"/>
        <w:jc w:val="center"/>
        <w:rPr>
          <w:rFonts w:eastAsia="Times New Roman"/>
          <w:b/>
          <w:bCs/>
          <w:sz w:val="26"/>
          <w:szCs w:val="26"/>
          <w:lang w:val="uk-UA" w:eastAsia="ar-SA"/>
        </w:rPr>
      </w:pPr>
      <w:r w:rsidRPr="00D70514">
        <w:rPr>
          <w:rFonts w:eastAsia="Times New Roman"/>
          <w:b/>
          <w:bCs/>
          <w:sz w:val="26"/>
          <w:szCs w:val="26"/>
          <w:lang w:val="uk-UA" w:eastAsia="ar-SA"/>
        </w:rPr>
        <w:t>до проєкту наказу Міністерства захисту довкілля та природних ресурсів України «</w:t>
      </w:r>
      <w:r w:rsidR="00D0174A" w:rsidRPr="00D0174A">
        <w:rPr>
          <w:rFonts w:eastAsia="Times New Roman"/>
          <w:b/>
          <w:bCs/>
          <w:sz w:val="26"/>
          <w:szCs w:val="26"/>
          <w:lang w:val="uk-UA" w:eastAsia="ar-SA"/>
        </w:rPr>
        <w:t>Про затвердження Змін до Порядку державної реєстрації робіт і досліджень, пов’язаних із геологічним вивченням надр</w:t>
      </w:r>
      <w:r w:rsidRPr="00D70514">
        <w:rPr>
          <w:rFonts w:eastAsia="Times New Roman"/>
          <w:b/>
          <w:bCs/>
          <w:sz w:val="26"/>
          <w:szCs w:val="26"/>
          <w:lang w:val="uk-UA" w:eastAsia="ar-SA"/>
        </w:rPr>
        <w:t>»</w:t>
      </w:r>
    </w:p>
    <w:p w:rsidR="00F75C5A" w:rsidRPr="00D70514" w:rsidRDefault="00F75C5A" w:rsidP="00F75C5A">
      <w:pPr>
        <w:shd w:val="clear" w:color="auto" w:fill="FFFFFF"/>
        <w:suppressAutoHyphens/>
        <w:spacing w:line="100" w:lineRule="atLeast"/>
        <w:jc w:val="center"/>
        <w:rPr>
          <w:rFonts w:eastAsia="Times New Roman"/>
          <w:sz w:val="26"/>
          <w:szCs w:val="26"/>
          <w:lang w:val="uk-UA" w:eastAsia="ar-SA"/>
        </w:rPr>
      </w:pPr>
    </w:p>
    <w:p w:rsidR="00F91422" w:rsidRPr="00D70514" w:rsidRDefault="007F7C9E" w:rsidP="00FA748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D70514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:rsidR="00DC6DE6" w:rsidRDefault="00DC6DE6" w:rsidP="00C963CF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C6DE6">
        <w:rPr>
          <w:bCs/>
          <w:sz w:val="26"/>
          <w:szCs w:val="26"/>
          <w:shd w:val="clear" w:color="auto" w:fill="FFFFFF"/>
          <w:lang w:val="uk-UA" w:eastAsia="ru-RU"/>
        </w:rPr>
        <w:t>Наказом Міністерства екології та природних ресурсів України від</w:t>
      </w:r>
      <w:r>
        <w:rPr>
          <w:bCs/>
          <w:sz w:val="26"/>
          <w:szCs w:val="26"/>
          <w:shd w:val="clear" w:color="auto" w:fill="FFFFFF"/>
          <w:lang w:val="uk-UA" w:eastAsia="ru-RU"/>
        </w:rPr>
        <w:t> </w:t>
      </w:r>
      <w:r w:rsidRPr="00DC6DE6">
        <w:rPr>
          <w:bCs/>
          <w:sz w:val="26"/>
          <w:szCs w:val="26"/>
          <w:shd w:val="clear" w:color="auto" w:fill="FFFFFF"/>
          <w:lang w:val="uk-UA" w:eastAsia="ru-RU"/>
        </w:rPr>
        <w:t>14.06.2013 №</w:t>
      </w:r>
      <w:r>
        <w:rPr>
          <w:bCs/>
          <w:sz w:val="26"/>
          <w:szCs w:val="26"/>
          <w:shd w:val="clear" w:color="auto" w:fill="FFFFFF"/>
          <w:lang w:val="uk-UA" w:eastAsia="ru-RU"/>
        </w:rPr>
        <w:t> </w:t>
      </w:r>
      <w:r w:rsidRPr="00DC6DE6">
        <w:rPr>
          <w:bCs/>
          <w:sz w:val="26"/>
          <w:szCs w:val="26"/>
          <w:shd w:val="clear" w:color="auto" w:fill="FFFFFF"/>
          <w:lang w:val="uk-UA" w:eastAsia="ru-RU"/>
        </w:rPr>
        <w:t>263, зареєстрованим в Міністерстві юстиції України 10.07.2013 за №</w:t>
      </w:r>
      <w:r>
        <w:rPr>
          <w:bCs/>
          <w:sz w:val="26"/>
          <w:szCs w:val="26"/>
          <w:shd w:val="clear" w:color="auto" w:fill="FFFFFF"/>
          <w:lang w:val="uk-UA" w:eastAsia="ru-RU"/>
        </w:rPr>
        <w:t> </w:t>
      </w:r>
      <w:r w:rsidRPr="00DC6DE6">
        <w:rPr>
          <w:bCs/>
          <w:sz w:val="26"/>
          <w:szCs w:val="26"/>
          <w:shd w:val="clear" w:color="auto" w:fill="FFFFFF"/>
          <w:lang w:val="uk-UA" w:eastAsia="ru-RU"/>
        </w:rPr>
        <w:t>1157/23689, затверджено Порядок державної реєстрації робіт і досліджень, пов’язаних із геологічним вивченням надр (далі – Порядок №</w:t>
      </w:r>
      <w:r>
        <w:rPr>
          <w:bCs/>
          <w:sz w:val="26"/>
          <w:szCs w:val="26"/>
          <w:shd w:val="clear" w:color="auto" w:fill="FFFFFF"/>
          <w:lang w:val="uk-UA" w:eastAsia="ru-RU"/>
        </w:rPr>
        <w:t> </w:t>
      </w:r>
      <w:r w:rsidRPr="00DC6DE6">
        <w:rPr>
          <w:bCs/>
          <w:sz w:val="26"/>
          <w:szCs w:val="26"/>
          <w:shd w:val="clear" w:color="auto" w:fill="FFFFFF"/>
          <w:lang w:val="uk-UA" w:eastAsia="ru-RU"/>
        </w:rPr>
        <w:t>263).</w:t>
      </w:r>
    </w:p>
    <w:p w:rsidR="00DC6DE6" w:rsidRPr="00DC6DE6" w:rsidRDefault="00DC6DE6" w:rsidP="00DC6DE6">
      <w:pPr>
        <w:shd w:val="clear" w:color="auto" w:fill="FFFFFF"/>
        <w:ind w:firstLine="567"/>
        <w:jc w:val="both"/>
        <w:rPr>
          <w:bCs/>
          <w:sz w:val="26"/>
          <w:szCs w:val="26"/>
          <w:shd w:val="clear" w:color="auto" w:fill="FFFFFF"/>
          <w:lang w:val="uk-UA" w:eastAsia="ru-RU"/>
        </w:rPr>
      </w:pPr>
      <w:r w:rsidRPr="00DC6DE6">
        <w:rPr>
          <w:bCs/>
          <w:sz w:val="26"/>
          <w:szCs w:val="26"/>
          <w:shd w:val="clear" w:color="auto" w:fill="FFFFFF"/>
          <w:lang w:val="uk-UA" w:eastAsia="ru-RU"/>
        </w:rPr>
        <w:t xml:space="preserve">Прийняття наказу дає змогу застосування єдиної процедури державної реєстрації робіт і досліджень, пов’язаних із геологічним вивченням надр (далі - РДГВН), з метою запобігання їх дублюванню при подальшому вивченні геологічної будови надр, виявленні та оцінці запасів і якості корисних копалин, дослідженні екологічного стану геологічного середовища, з'ясуванні гірничотехнічних, гідрогеологічних та інших умов розробки родовищ корисних копалин і використання надр для цілей, не пов'язаних з видобуванням корисних копалин. </w:t>
      </w:r>
    </w:p>
    <w:p w:rsidR="00DC6DE6" w:rsidRDefault="00DC6DE6" w:rsidP="00DC6DE6">
      <w:pPr>
        <w:shd w:val="clear" w:color="auto" w:fill="FFFFFF"/>
        <w:ind w:firstLine="567"/>
        <w:jc w:val="both"/>
        <w:rPr>
          <w:bCs/>
          <w:sz w:val="26"/>
          <w:szCs w:val="26"/>
          <w:shd w:val="clear" w:color="auto" w:fill="FFFFFF"/>
          <w:lang w:val="uk-UA" w:eastAsia="ru-RU"/>
        </w:rPr>
      </w:pPr>
      <w:r w:rsidRPr="00DC6DE6">
        <w:rPr>
          <w:bCs/>
          <w:sz w:val="26"/>
          <w:szCs w:val="26"/>
          <w:shd w:val="clear" w:color="auto" w:fill="FFFFFF"/>
          <w:lang w:val="uk-UA" w:eastAsia="ru-RU"/>
        </w:rPr>
        <w:t>Однак в ході практичної реалізації Порядку № 263 виникли проблемні питання, які потребують удосконалення</w:t>
      </w:r>
      <w:r>
        <w:rPr>
          <w:bCs/>
          <w:sz w:val="26"/>
          <w:szCs w:val="26"/>
          <w:shd w:val="clear" w:color="auto" w:fill="FFFFFF"/>
          <w:lang w:val="uk-UA" w:eastAsia="ru-RU"/>
        </w:rPr>
        <w:t xml:space="preserve"> процедури реєстрації. В</w:t>
      </w:r>
      <w:r w:rsidRPr="00DC6DE6">
        <w:rPr>
          <w:bCs/>
          <w:sz w:val="26"/>
          <w:szCs w:val="26"/>
          <w:shd w:val="clear" w:color="auto" w:fill="FFFFFF"/>
          <w:lang w:val="uk-UA" w:eastAsia="ru-RU"/>
        </w:rPr>
        <w:t xml:space="preserve"> сучасних умовах обмін та опрацювання паперових документів є значно ускладненими. Враховуючи складну логістику обміну паперовими документами, терміни доставки</w:t>
      </w:r>
      <w:r>
        <w:rPr>
          <w:bCs/>
          <w:sz w:val="26"/>
          <w:szCs w:val="26"/>
          <w:shd w:val="clear" w:color="auto" w:fill="FFFFFF"/>
          <w:lang w:val="uk-UA" w:eastAsia="ru-RU"/>
        </w:rPr>
        <w:t xml:space="preserve"> документів для їх опрацювання та повернення з</w:t>
      </w:r>
      <w:r w:rsidR="0057219B">
        <w:rPr>
          <w:bCs/>
          <w:sz w:val="26"/>
          <w:szCs w:val="26"/>
          <w:shd w:val="clear" w:color="auto" w:fill="FFFFFF"/>
          <w:lang w:val="uk-UA" w:eastAsia="ru-RU"/>
        </w:rPr>
        <w:t>а</w:t>
      </w:r>
      <w:r>
        <w:rPr>
          <w:bCs/>
          <w:sz w:val="26"/>
          <w:szCs w:val="26"/>
          <w:shd w:val="clear" w:color="auto" w:fill="FFFFFF"/>
          <w:lang w:val="uk-UA" w:eastAsia="ru-RU"/>
        </w:rPr>
        <w:t>явнику</w:t>
      </w:r>
      <w:r w:rsidRPr="00DC6DE6">
        <w:rPr>
          <w:bCs/>
          <w:sz w:val="26"/>
          <w:szCs w:val="26"/>
          <w:shd w:val="clear" w:color="auto" w:fill="FFFFFF"/>
          <w:lang w:val="uk-UA" w:eastAsia="ru-RU"/>
        </w:rPr>
        <w:t xml:space="preserve"> є невизначеними, що в свою чергу подовжує процес опрацювання таких документів в цілому.</w:t>
      </w:r>
    </w:p>
    <w:p w:rsidR="00DC6DE6" w:rsidRPr="00D70514" w:rsidRDefault="00DC6DE6" w:rsidP="00DC6DE6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bCs/>
          <w:sz w:val="26"/>
          <w:szCs w:val="26"/>
          <w:lang w:val="uk-UA" w:eastAsia="ru-RU"/>
        </w:rPr>
        <w:t xml:space="preserve">З метою забезпечення належного виконання вимог законодавства, </w:t>
      </w:r>
      <w:r w:rsidR="008C3C21" w:rsidRPr="00576E1B">
        <w:rPr>
          <w:rFonts w:eastAsia="Times New Roman"/>
          <w:bCs/>
          <w:sz w:val="26"/>
          <w:szCs w:val="26"/>
          <w:lang w:val="uk-UA" w:eastAsia="ru-RU"/>
        </w:rPr>
        <w:t>подальшої цифровізації сфери користування надрами</w:t>
      </w:r>
      <w:r w:rsidRPr="00576E1B">
        <w:rPr>
          <w:rFonts w:eastAsia="Times New Roman"/>
          <w:bCs/>
          <w:sz w:val="26"/>
          <w:szCs w:val="26"/>
          <w:lang w:val="uk-UA" w:eastAsia="ru-RU"/>
        </w:rPr>
        <w:t>,</w:t>
      </w:r>
      <w:r>
        <w:rPr>
          <w:rFonts w:eastAsia="Times New Roman"/>
          <w:bCs/>
          <w:sz w:val="26"/>
          <w:szCs w:val="26"/>
          <w:lang w:val="uk-UA" w:eastAsia="ru-RU"/>
        </w:rPr>
        <w:t xml:space="preserve"> зокрема, здійснення державної реєстрації</w:t>
      </w:r>
      <w:r w:rsidRPr="00DC6DE6">
        <w:rPr>
          <w:lang w:val="uk-UA"/>
        </w:rPr>
        <w:t xml:space="preserve"> 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>робіт і досліджень, пов’язаних із геологічним вивченням надр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 xml:space="preserve">, підвищення прозорості та оперативності вирішення завдань, пов’язаних із надрокористуванням, залучення інвестицій у </w:t>
      </w:r>
      <w:r>
        <w:rPr>
          <w:rFonts w:eastAsia="Times New Roman"/>
          <w:bCs/>
          <w:sz w:val="26"/>
          <w:szCs w:val="26"/>
          <w:lang w:val="uk-UA" w:eastAsia="ru-RU"/>
        </w:rPr>
        <w:t>геологіч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>ну галузь України та мінімізації корупційних ризиків у сфері надрокористування</w:t>
      </w:r>
      <w:r>
        <w:rPr>
          <w:rFonts w:eastAsia="Times New Roman"/>
          <w:bCs/>
          <w:sz w:val="26"/>
          <w:szCs w:val="26"/>
          <w:lang w:val="uk-UA" w:eastAsia="ru-RU"/>
        </w:rPr>
        <w:t xml:space="preserve">, що також здійснюється в рамках </w:t>
      </w:r>
      <w:r w:rsidR="008C3C21" w:rsidRPr="00576E1B">
        <w:rPr>
          <w:rFonts w:eastAsia="Times New Roman"/>
          <w:bCs/>
          <w:sz w:val="26"/>
          <w:szCs w:val="26"/>
          <w:lang w:val="uk-UA" w:eastAsia="ru-RU"/>
        </w:rPr>
        <w:t>в</w:t>
      </w:r>
      <w:r>
        <w:rPr>
          <w:rFonts w:eastAsia="Times New Roman"/>
          <w:bCs/>
          <w:sz w:val="26"/>
          <w:szCs w:val="26"/>
          <w:lang w:val="uk-UA" w:eastAsia="ru-RU"/>
        </w:rPr>
        <w:t xml:space="preserve">провадження 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>функціонування електронного кабінету надрокористувача</w:t>
      </w:r>
      <w:r>
        <w:rPr>
          <w:rFonts w:eastAsia="Times New Roman"/>
          <w:bCs/>
          <w:sz w:val="26"/>
          <w:szCs w:val="26"/>
          <w:lang w:val="uk-UA" w:eastAsia="ru-RU"/>
        </w:rPr>
        <w:t>,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 xml:space="preserve"> Міндовкіллям разом з Держгеонадрами розроблено проєкт наказу Міністерства захисту довкілля та природних ресурсів України «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>Про затвердження Змін до Порядку державної реєстрації робіт і досліджень, пов’язаних із геологічним вивченням надр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>».</w:t>
      </w:r>
    </w:p>
    <w:p w:rsidR="00DC6DE6" w:rsidRDefault="00DC6DE6" w:rsidP="00DC6DE6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C6DE6">
        <w:rPr>
          <w:rFonts w:eastAsia="Times New Roman"/>
          <w:bCs/>
          <w:sz w:val="26"/>
          <w:szCs w:val="26"/>
          <w:lang w:val="uk-UA" w:eastAsia="ru-RU"/>
        </w:rPr>
        <w:t>Також, необхідним є збереження об’єктів державного фонду родовищ корисних копалин, що обліковуються державним балансом запасів корисних копалин та є потенційними для їх продажу на аукціоні.</w:t>
      </w:r>
    </w:p>
    <w:p w:rsidR="00DC6DE6" w:rsidRPr="00DC6DE6" w:rsidRDefault="00DC6DE6" w:rsidP="00DC6DE6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C6DE6">
        <w:rPr>
          <w:sz w:val="26"/>
          <w:szCs w:val="26"/>
          <w:lang w:val="uk-UA"/>
        </w:rPr>
        <w:t xml:space="preserve">Таким чином, </w:t>
      </w:r>
      <w:r>
        <w:rPr>
          <w:rFonts w:eastAsia="Times New Roman"/>
          <w:bCs/>
          <w:sz w:val="26"/>
          <w:szCs w:val="26"/>
          <w:lang w:val="uk-UA" w:eastAsia="ru-RU"/>
        </w:rPr>
        <w:t>з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>апропоновані проєктом акта зміни спрямовані на забезпечення здійснення Держгеонадрами державної реєстрації робіт і досліджень, пов’язаних із геологічним вивченням надр в сучасних умовах політики цифровізації у сфері користування надрами, шляхом спрощення процедури подання надрокористувачем матеріалів на державну реєстрацію робіт і досліджень, пов’язаних із геологічним вивченням надр та процедури здійснення такої державної реєстрації в електронній формі засобами електронного зв’язку, що в свою чергу сприятиме подальшій діджиталізації сфери користування надрами.</w:t>
      </w:r>
    </w:p>
    <w:p w:rsidR="00DC6DE6" w:rsidRDefault="00DC6DE6" w:rsidP="00DC6DE6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C6DE6">
        <w:rPr>
          <w:rFonts w:eastAsia="Times New Roman"/>
          <w:bCs/>
          <w:sz w:val="26"/>
          <w:szCs w:val="26"/>
          <w:lang w:val="uk-UA" w:eastAsia="ru-RU"/>
        </w:rPr>
        <w:lastRenderedPageBreak/>
        <w:t xml:space="preserve">Також, </w:t>
      </w:r>
      <w:r>
        <w:rPr>
          <w:rFonts w:eastAsia="Times New Roman"/>
          <w:bCs/>
          <w:sz w:val="26"/>
          <w:szCs w:val="26"/>
          <w:lang w:val="uk-UA" w:eastAsia="ru-RU"/>
        </w:rPr>
        <w:t>запропоновані зміни забезпечать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 xml:space="preserve"> збереження об’єктів державного фонду родовищ корисних копалин, що обліковуються державним балансом запасів корисних копалин </w:t>
      </w:r>
      <w:r>
        <w:rPr>
          <w:rFonts w:eastAsia="Times New Roman"/>
          <w:bCs/>
          <w:sz w:val="26"/>
          <w:szCs w:val="26"/>
          <w:lang w:val="uk-UA" w:eastAsia="ru-RU"/>
        </w:rPr>
        <w:t>які є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 xml:space="preserve"> потенційними для їх продажу на аукціоні.</w:t>
      </w:r>
    </w:p>
    <w:p w:rsidR="00DF2724" w:rsidRPr="00D70514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  <w:lang w:val="uk-UA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О</w:t>
      </w:r>
      <w:r w:rsidR="00E57D5B" w:rsidRPr="00D70514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D70514">
        <w:rPr>
          <w:spacing w:val="2"/>
          <w:sz w:val="26"/>
          <w:szCs w:val="26"/>
          <w:lang w:val="uk-UA"/>
        </w:rPr>
        <w:t xml:space="preserve"> групи</w:t>
      </w:r>
      <w:r w:rsidR="00496253" w:rsidRPr="00D70514">
        <w:rPr>
          <w:spacing w:val="2"/>
          <w:sz w:val="26"/>
          <w:szCs w:val="26"/>
          <w:lang w:val="uk-UA"/>
        </w:rPr>
        <w:t>,</w:t>
      </w:r>
      <w:r w:rsidR="00E57D5B" w:rsidRPr="00D70514">
        <w:rPr>
          <w:spacing w:val="2"/>
          <w:sz w:val="26"/>
          <w:szCs w:val="26"/>
          <w:lang w:val="uk-UA"/>
        </w:rPr>
        <w:t xml:space="preserve"> на які проблема справляє вплив</w:t>
      </w:r>
      <w:r w:rsidR="00DF2724" w:rsidRPr="00D70514">
        <w:rPr>
          <w:spacing w:val="2"/>
          <w:sz w:val="26"/>
          <w:szCs w:val="26"/>
          <w:lang w:val="uk-UA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2548"/>
        <w:gridCol w:w="2746"/>
      </w:tblGrid>
      <w:tr w:rsidR="008A709C" w:rsidRPr="00D70514" w:rsidTr="00E53853">
        <w:tc>
          <w:tcPr>
            <w:tcW w:w="396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D70514" w:rsidTr="00E53853">
        <w:tc>
          <w:tcPr>
            <w:tcW w:w="396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A709C" w:rsidRPr="00D70514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:rsidR="008A709C" w:rsidRPr="00D70514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D70514" w:rsidTr="00E53853">
        <w:tc>
          <w:tcPr>
            <w:tcW w:w="396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D70514" w:rsidTr="00E53853">
        <w:tc>
          <w:tcPr>
            <w:tcW w:w="3960" w:type="dxa"/>
          </w:tcPr>
          <w:p w:rsidR="003D6F89" w:rsidRPr="00D70514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61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D70514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466CFA" w:rsidRPr="00D70514" w:rsidRDefault="00466CF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</w:p>
    <w:p w:rsidR="008A709C" w:rsidRPr="00D70514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8A709C" w:rsidRPr="00D70514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8A709C" w:rsidRPr="00D70514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D70514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8A709C" w:rsidRPr="00D70514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D70514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:rsidR="008A709C" w:rsidRPr="00D70514" w:rsidRDefault="008A709C" w:rsidP="00FA7487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D70514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:rsidR="00DC7B07" w:rsidRPr="00D70514" w:rsidRDefault="00DC7B07" w:rsidP="00315E59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D70514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315E59" w:rsidRPr="00D70514">
        <w:rPr>
          <w:rFonts w:eastAsia="Calibri"/>
          <w:color w:val="000000"/>
          <w:sz w:val="26"/>
          <w:szCs w:val="26"/>
          <w:lang w:val="uk-UA" w:eastAsia="en-US"/>
        </w:rPr>
        <w:t xml:space="preserve">поступове цифрування </w:t>
      </w:r>
      <w:r w:rsidR="008C3C21" w:rsidRPr="005D2E7C">
        <w:rPr>
          <w:rFonts w:eastAsia="Calibri"/>
          <w:color w:val="000000"/>
          <w:sz w:val="26"/>
          <w:szCs w:val="26"/>
          <w:lang w:val="uk-UA" w:eastAsia="en-US"/>
        </w:rPr>
        <w:t>процедури</w:t>
      </w:r>
      <w:r w:rsidR="008C3C21">
        <w:rPr>
          <w:rFonts w:eastAsia="Calibri"/>
          <w:color w:val="000000"/>
          <w:sz w:val="26"/>
          <w:szCs w:val="26"/>
          <w:lang w:val="uk-UA" w:eastAsia="en-US"/>
        </w:rPr>
        <w:t xml:space="preserve"> </w:t>
      </w:r>
      <w:r w:rsidR="00DC6DE6" w:rsidRPr="005D2E7C">
        <w:rPr>
          <w:rFonts w:eastAsia="Calibri"/>
          <w:color w:val="000000"/>
          <w:sz w:val="26"/>
          <w:szCs w:val="26"/>
          <w:lang w:val="uk-UA" w:eastAsia="en-US"/>
        </w:rPr>
        <w:t>державної</w:t>
      </w:r>
      <w:r w:rsidR="00DC6DE6" w:rsidRPr="00DC6DE6">
        <w:rPr>
          <w:rFonts w:eastAsia="Times New Roman"/>
          <w:bCs/>
          <w:sz w:val="26"/>
          <w:szCs w:val="26"/>
          <w:lang w:val="uk-UA" w:eastAsia="ru-RU"/>
        </w:rPr>
        <w:t xml:space="preserve"> реєстрації робіт і досліджень, пов’язаних із геологічним вивченням надр</w:t>
      </w:r>
      <w:r w:rsidR="0057219B" w:rsidRPr="00DC6DE6">
        <w:rPr>
          <w:rFonts w:eastAsia="Times New Roman"/>
          <w:bCs/>
          <w:sz w:val="26"/>
          <w:szCs w:val="26"/>
          <w:lang w:val="uk-UA" w:eastAsia="ru-RU"/>
        </w:rPr>
        <w:t>, що в свою чергу сприятиме подальшій діджиталізації сфери користування надрами</w:t>
      </w:r>
      <w:r w:rsidR="003756B5" w:rsidRPr="00D70514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014E0B" w:rsidRPr="00591C2F" w:rsidRDefault="00014E0B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D70514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315E59" w:rsidRPr="00591C2F">
        <w:rPr>
          <w:rFonts w:eastAsia="Calibri"/>
          <w:color w:val="000000"/>
          <w:sz w:val="26"/>
          <w:szCs w:val="26"/>
          <w:lang w:val="uk-UA" w:eastAsia="en-US"/>
        </w:rPr>
        <w:t xml:space="preserve">спрощення процедури </w:t>
      </w:r>
      <w:r w:rsidR="00DC6DE6" w:rsidRPr="00591C2F">
        <w:rPr>
          <w:rFonts w:eastAsia="Times New Roman"/>
          <w:bCs/>
          <w:sz w:val="26"/>
          <w:szCs w:val="26"/>
          <w:lang w:val="uk-UA" w:eastAsia="ru-RU"/>
        </w:rPr>
        <w:t xml:space="preserve">державної </w:t>
      </w:r>
      <w:r w:rsidR="00DC6DE6" w:rsidRPr="00591C2F">
        <w:rPr>
          <w:rFonts w:eastAsia="Calibri"/>
          <w:color w:val="000000"/>
          <w:sz w:val="26"/>
          <w:szCs w:val="26"/>
          <w:lang w:val="uk-UA" w:eastAsia="en-US"/>
        </w:rPr>
        <w:t xml:space="preserve">реєстрації та перереєстрації </w:t>
      </w:r>
      <w:r w:rsidR="00DC6DE6" w:rsidRPr="00591C2F">
        <w:rPr>
          <w:rFonts w:eastAsia="Times New Roman"/>
          <w:bCs/>
          <w:sz w:val="26"/>
          <w:szCs w:val="26"/>
          <w:lang w:val="uk-UA" w:eastAsia="ru-RU"/>
        </w:rPr>
        <w:t>робіт і досліджень, пов’язаних із геологічним вивченням надр</w:t>
      </w:r>
      <w:r w:rsidR="005952E8" w:rsidRPr="00591C2F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C93785" w:rsidRPr="00D70514" w:rsidRDefault="004E38B6" w:rsidP="00FA7487">
      <w:pPr>
        <w:widowControl w:val="0"/>
        <w:tabs>
          <w:tab w:val="left" w:pos="709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D70514">
        <w:rPr>
          <w:rFonts w:eastAsia="Calibri"/>
          <w:color w:val="FF0000"/>
          <w:sz w:val="26"/>
          <w:szCs w:val="26"/>
          <w:lang w:val="uk-UA" w:eastAsia="en-US"/>
        </w:rPr>
        <w:tab/>
      </w:r>
      <w:r w:rsidR="00591DCD" w:rsidRPr="00D70514">
        <w:rPr>
          <w:rFonts w:eastAsia="Calibri"/>
          <w:color w:val="000000"/>
          <w:sz w:val="26"/>
          <w:szCs w:val="26"/>
          <w:lang w:val="uk-UA" w:eastAsia="en-US"/>
        </w:rPr>
        <w:t>підвищення прозорості та оперативності вирішення завдань у сфері надрокористування;</w:t>
      </w:r>
    </w:p>
    <w:p w:rsidR="00D01E82" w:rsidRDefault="00310743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D70514">
        <w:rPr>
          <w:rFonts w:eastAsia="Calibri"/>
          <w:color w:val="000000"/>
          <w:sz w:val="26"/>
          <w:szCs w:val="26"/>
          <w:lang w:val="uk-UA" w:eastAsia="en-US"/>
        </w:rPr>
        <w:tab/>
        <w:t>збільшення інвестиційної приваб</w:t>
      </w:r>
      <w:r w:rsidR="00107750" w:rsidRPr="00D70514">
        <w:rPr>
          <w:rFonts w:eastAsia="Calibri"/>
          <w:color w:val="000000"/>
          <w:sz w:val="26"/>
          <w:szCs w:val="26"/>
          <w:lang w:val="uk-UA" w:eastAsia="en-US"/>
        </w:rPr>
        <w:t>ливості сфери надрокористування</w:t>
      </w:r>
      <w:r w:rsidRPr="00D70514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DC6DE6" w:rsidRPr="00D70514" w:rsidRDefault="00DC6DE6" w:rsidP="008C3C21">
      <w:pPr>
        <w:widowControl w:val="0"/>
        <w:tabs>
          <w:tab w:val="left" w:pos="709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ab/>
      </w:r>
      <w:r w:rsidRPr="00DC6DE6">
        <w:rPr>
          <w:rFonts w:eastAsia="Times New Roman"/>
          <w:bCs/>
          <w:sz w:val="26"/>
          <w:szCs w:val="26"/>
          <w:lang w:val="uk-UA" w:eastAsia="ru-RU"/>
        </w:rPr>
        <w:t xml:space="preserve">збереження об’єктів державного фонду родовищ корисних копалин, що обліковуються державним балансом запасів корисних копалин </w:t>
      </w:r>
      <w:r>
        <w:rPr>
          <w:rFonts w:eastAsia="Times New Roman"/>
          <w:bCs/>
          <w:sz w:val="26"/>
          <w:szCs w:val="26"/>
          <w:lang w:val="uk-UA" w:eastAsia="ru-RU"/>
        </w:rPr>
        <w:t>які є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 xml:space="preserve"> потенційними для їх продажу на аукціоні</w:t>
      </w:r>
      <w:r>
        <w:rPr>
          <w:rFonts w:eastAsia="Times New Roman"/>
          <w:bCs/>
          <w:sz w:val="26"/>
          <w:szCs w:val="26"/>
          <w:lang w:val="uk-UA" w:eastAsia="ru-RU"/>
        </w:rPr>
        <w:t>;</w:t>
      </w:r>
    </w:p>
    <w:p w:rsidR="00673299" w:rsidRPr="00D70514" w:rsidRDefault="00107750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D70514">
        <w:rPr>
          <w:rFonts w:eastAsia="Calibri"/>
          <w:color w:val="000000"/>
          <w:sz w:val="26"/>
          <w:szCs w:val="26"/>
          <w:lang w:val="uk-UA" w:eastAsia="en-US"/>
        </w:rPr>
        <w:tab/>
        <w:t>наближення законодавства України до Європейського рівня</w:t>
      </w:r>
      <w:r w:rsidR="00A2632A" w:rsidRPr="00D70514">
        <w:rPr>
          <w:rFonts w:eastAsia="Calibri"/>
          <w:color w:val="000000"/>
          <w:sz w:val="26"/>
          <w:szCs w:val="26"/>
          <w:lang w:val="uk-UA" w:eastAsia="en-US"/>
        </w:rPr>
        <w:t>.</w:t>
      </w:r>
    </w:p>
    <w:p w:rsidR="00286579" w:rsidRPr="00D70514" w:rsidRDefault="00286579" w:rsidP="00FA7487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:rsidR="00ED31D7" w:rsidRPr="00D70514" w:rsidRDefault="00853FD4" w:rsidP="00063AA9">
      <w:pPr>
        <w:widowControl w:val="0"/>
        <w:tabs>
          <w:tab w:val="left" w:pos="770"/>
          <w:tab w:val="left" w:pos="990"/>
        </w:tabs>
        <w:spacing w:before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D70514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D70514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:rsidR="00853FD4" w:rsidRPr="00D70514" w:rsidRDefault="00853FD4" w:rsidP="00063AA9">
      <w:pPr>
        <w:widowControl w:val="0"/>
        <w:tabs>
          <w:tab w:val="left" w:pos="990"/>
        </w:tabs>
        <w:ind w:left="270" w:firstLine="660"/>
        <w:rPr>
          <w:rFonts w:eastAsia="Times New Roman"/>
          <w:b/>
          <w:sz w:val="16"/>
          <w:szCs w:val="16"/>
          <w:lang w:val="uk-UA" w:eastAsia="ru-RU"/>
        </w:rPr>
      </w:pPr>
    </w:p>
    <w:p w:rsidR="00ED31D7" w:rsidRPr="00D70514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D70514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D70514" w:rsidTr="00853FD4">
        <w:tc>
          <w:tcPr>
            <w:tcW w:w="3950" w:type="dxa"/>
          </w:tcPr>
          <w:p w:rsidR="00ED31D7" w:rsidRPr="00D70514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0" w:name="_Hlk15904862"/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:rsidR="00ED31D7" w:rsidRPr="00D70514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D70514" w:rsidTr="00853FD4">
        <w:tc>
          <w:tcPr>
            <w:tcW w:w="3950" w:type="dxa"/>
          </w:tcPr>
          <w:p w:rsidR="005D3CD5" w:rsidRPr="00D70514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5D3CD5" w:rsidRPr="00D70514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30" w:type="dxa"/>
          </w:tcPr>
          <w:p w:rsidR="00A9019D" w:rsidRPr="00D70514" w:rsidRDefault="00A9019D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D70514">
              <w:rPr>
                <w:sz w:val="26"/>
                <w:szCs w:val="26"/>
                <w:lang w:val="uk-UA"/>
              </w:rPr>
              <w:t>Залишення чинного регулювання.</w:t>
            </w:r>
          </w:p>
          <w:p w:rsidR="008A709C" w:rsidRPr="00D70514" w:rsidRDefault="00CB7AEA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D70514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D70514">
              <w:rPr>
                <w:sz w:val="26"/>
                <w:szCs w:val="26"/>
                <w:lang w:val="uk-UA"/>
              </w:rPr>
              <w:t xml:space="preserve">е </w:t>
            </w:r>
            <w:r w:rsidR="006457C0" w:rsidRPr="00D70514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D70514">
              <w:rPr>
                <w:sz w:val="26"/>
                <w:szCs w:val="26"/>
                <w:lang w:val="uk-UA"/>
              </w:rPr>
              <w:t>,</w:t>
            </w:r>
            <w:r w:rsidR="006457C0" w:rsidRPr="00D70514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D70514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D70514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5D2E7C" w:rsidTr="00853FD4">
        <w:tc>
          <w:tcPr>
            <w:tcW w:w="3950" w:type="dxa"/>
          </w:tcPr>
          <w:p w:rsidR="005D3CD5" w:rsidRPr="00D70514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:rsidR="005D3CD5" w:rsidRPr="00D70514" w:rsidRDefault="005D3CD5" w:rsidP="00F04B93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30" w:type="dxa"/>
          </w:tcPr>
          <w:p w:rsidR="00A9019D" w:rsidRPr="00D70514" w:rsidRDefault="00A9019D" w:rsidP="00F04B93">
            <w:pPr>
              <w:pStyle w:val="rvps2"/>
              <w:spacing w:before="0" w:beforeAutospacing="0" w:after="150" w:afterAutospacing="0"/>
              <w:ind w:left="312"/>
              <w:jc w:val="both"/>
              <w:rPr>
                <w:sz w:val="26"/>
                <w:szCs w:val="26"/>
                <w:lang w:val="uk-UA"/>
              </w:rPr>
            </w:pPr>
            <w:r w:rsidRPr="00D70514">
              <w:rPr>
                <w:sz w:val="26"/>
                <w:szCs w:val="26"/>
                <w:lang w:val="uk-UA"/>
              </w:rPr>
              <w:lastRenderedPageBreak/>
              <w:t xml:space="preserve">Прийняття наказу Міністерства захисту довкілля та природних ресурсів України </w:t>
            </w:r>
            <w:r w:rsidRPr="00D70514">
              <w:rPr>
                <w:sz w:val="26"/>
                <w:szCs w:val="26"/>
                <w:lang w:val="uk-UA"/>
              </w:rPr>
              <w:lastRenderedPageBreak/>
              <w:t>«</w:t>
            </w:r>
            <w:r w:rsidR="0057219B" w:rsidRPr="0057219B">
              <w:rPr>
                <w:sz w:val="26"/>
                <w:szCs w:val="26"/>
                <w:lang w:val="uk-UA"/>
              </w:rPr>
              <w:t>Про затвердження Змін до Порядку державної реєстрації робіт і досліджень, пов’язаних із геологічним вивченням надр</w:t>
            </w:r>
            <w:r w:rsidRPr="00D70514">
              <w:rPr>
                <w:sz w:val="26"/>
                <w:szCs w:val="26"/>
                <w:lang w:val="uk-UA"/>
              </w:rPr>
              <w:t>».</w:t>
            </w:r>
          </w:p>
          <w:p w:rsidR="00B70223" w:rsidRPr="00D70514" w:rsidRDefault="0057219B" w:rsidP="0057219B">
            <w:pPr>
              <w:pStyle w:val="rvps2"/>
              <w:spacing w:before="0" w:beforeAutospacing="0" w:after="150" w:afterAutospacing="0"/>
              <w:ind w:left="31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7219B">
              <w:rPr>
                <w:sz w:val="26"/>
                <w:szCs w:val="26"/>
                <w:lang w:val="uk-UA"/>
              </w:rPr>
              <w:t xml:space="preserve">Прийняття проєкту акта </w:t>
            </w:r>
            <w:r>
              <w:rPr>
                <w:sz w:val="26"/>
                <w:szCs w:val="26"/>
                <w:lang w:val="uk-UA"/>
              </w:rPr>
              <w:t>з</w:t>
            </w:r>
            <w:r w:rsidR="0033266C" w:rsidRPr="00D7051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 xml:space="preserve">безпечить </w:t>
            </w:r>
            <w:r w:rsidRPr="00D70514">
              <w:rPr>
                <w:color w:val="000000"/>
                <w:sz w:val="26"/>
                <w:szCs w:val="26"/>
                <w:lang w:val="uk-UA"/>
              </w:rPr>
              <w:t>подання надрокористувачем документів в електронній формі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для здійснення державної реєстрації робіт </w:t>
            </w:r>
            <w:r w:rsidRPr="0057219B">
              <w:rPr>
                <w:color w:val="000000"/>
                <w:sz w:val="26"/>
                <w:szCs w:val="26"/>
                <w:lang w:val="uk-UA"/>
              </w:rPr>
              <w:t>і досліджень, пов’язаних із геологічним вивченням надр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а також </w:t>
            </w:r>
            <w:r w:rsidRPr="0057219B">
              <w:rPr>
                <w:color w:val="000000"/>
                <w:sz w:val="26"/>
                <w:szCs w:val="26"/>
                <w:lang w:val="uk-UA"/>
              </w:rPr>
              <w:t>збереження об’єктів державного фонду родовищ корисних копалин, що обліковуються державним балансом запасів корисних копалин які є потенційними для їх продажу на аукціоні</w:t>
            </w:r>
            <w:r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bookmarkEnd w:id="0"/>
    </w:tbl>
    <w:p w:rsidR="005F7C27" w:rsidRPr="00D70514" w:rsidRDefault="005F7C27" w:rsidP="00063AA9">
      <w:pPr>
        <w:widowControl w:val="0"/>
        <w:tabs>
          <w:tab w:val="left" w:pos="990"/>
        </w:tabs>
        <w:ind w:left="709"/>
        <w:jc w:val="both"/>
        <w:rPr>
          <w:rFonts w:eastAsia="Times New Roman"/>
          <w:sz w:val="16"/>
          <w:szCs w:val="16"/>
          <w:lang w:val="uk-UA" w:eastAsia="ru-RU"/>
        </w:rPr>
      </w:pPr>
    </w:p>
    <w:p w:rsidR="00913FF1" w:rsidRPr="00D70514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Оцінка вибраних альтернативних способів досягнення цілей</w:t>
      </w:r>
    </w:p>
    <w:p w:rsidR="00913FF1" w:rsidRPr="00D70514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D70514" w:rsidTr="00770F12">
        <w:tc>
          <w:tcPr>
            <w:tcW w:w="2430" w:type="dxa"/>
          </w:tcPr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57219B" w:rsidTr="00770F12">
        <w:tc>
          <w:tcPr>
            <w:tcW w:w="2430" w:type="dxa"/>
          </w:tcPr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913FF1" w:rsidRPr="00D70514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D70514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:rsidR="0057219B" w:rsidRDefault="00931BCF" w:rsidP="0057219B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У разі неприйняття проєкту наказу  </w:t>
            </w:r>
            <w:r w:rsidRPr="00D70514">
              <w:rPr>
                <w:sz w:val="26"/>
                <w:szCs w:val="26"/>
                <w:lang w:val="uk-UA"/>
              </w:rPr>
              <w:t>Міністерства захисту довкілля та природних ресурсів України «</w:t>
            </w:r>
            <w:r w:rsidR="0057219B" w:rsidRPr="0057219B">
              <w:rPr>
                <w:sz w:val="26"/>
                <w:szCs w:val="26"/>
                <w:lang w:val="uk-UA"/>
              </w:rPr>
              <w:t>Про затвердження Змін до Порядку державної реєстрації робіт і досліджень, пов’язаних із геологічним вивченням надр</w:t>
            </w:r>
            <w:r w:rsidRPr="00D70514">
              <w:rPr>
                <w:sz w:val="26"/>
                <w:szCs w:val="26"/>
                <w:lang w:val="uk-UA"/>
              </w:rPr>
              <w:t>»</w:t>
            </w:r>
            <w:r w:rsidR="0057219B">
              <w:rPr>
                <w:sz w:val="26"/>
                <w:szCs w:val="26"/>
                <w:lang w:val="uk-UA"/>
              </w:rPr>
              <w:t xml:space="preserve"> </w:t>
            </w:r>
            <w:r w:rsidRPr="00D70514">
              <w:rPr>
                <w:sz w:val="26"/>
                <w:szCs w:val="26"/>
                <w:lang w:val="uk-UA"/>
              </w:rPr>
              <w:t xml:space="preserve">залишається навантаження на суб’єктів господарювання щодо подання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документів </w:t>
            </w:r>
            <w:r w:rsidR="0057219B">
              <w:rPr>
                <w:color w:val="000000"/>
                <w:sz w:val="26"/>
                <w:szCs w:val="26"/>
                <w:lang w:val="uk-UA"/>
              </w:rPr>
              <w:t xml:space="preserve">для здійснення державної реєстрації робіт </w:t>
            </w:r>
            <w:r w:rsidR="0057219B" w:rsidRPr="0057219B">
              <w:rPr>
                <w:color w:val="000000"/>
                <w:sz w:val="26"/>
                <w:szCs w:val="26"/>
                <w:lang w:val="uk-UA"/>
              </w:rPr>
              <w:t>і досліджень, пов’язаних із геологічним вивченням надр</w:t>
            </w:r>
            <w:r w:rsidR="0057219B"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57219B"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виключно в паперовій формі</w:t>
            </w:r>
            <w:r w:rsidR="0057219B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</w:p>
          <w:p w:rsidR="00B45FDC" w:rsidRPr="00D70514" w:rsidRDefault="0057219B" w:rsidP="0057219B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а також не буде забезпечене </w:t>
            </w:r>
            <w:r w:rsidRPr="0057219B">
              <w:rPr>
                <w:color w:val="000000"/>
                <w:sz w:val="26"/>
                <w:szCs w:val="26"/>
                <w:lang w:val="uk-UA"/>
              </w:rPr>
              <w:t>збереження об’єктів державного фонду родовищ корисних копалин, що обліковуються державним балансом запасів корисних копалин які є потенційними для їх продажу на аукціоні</w:t>
            </w:r>
            <w:r w:rsidR="008F375A"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A01622" w:rsidRPr="00D70514" w:rsidTr="00770F12">
        <w:tc>
          <w:tcPr>
            <w:tcW w:w="2430" w:type="dxa"/>
          </w:tcPr>
          <w:p w:rsidR="00A01622" w:rsidRPr="00D70514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4066" w:type="dxa"/>
          </w:tcPr>
          <w:p w:rsidR="002300F1" w:rsidRPr="00D70514" w:rsidRDefault="005F7C27" w:rsidP="005F7C2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Поступове </w:t>
            </w:r>
            <w:r w:rsidR="0057219B" w:rsidRPr="00D70514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цифрування </w:t>
            </w:r>
            <w:r w:rsidR="0057219B"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державної реєстрації робіт і досліджень, пов’язаних із геологічним вивченням надр, що в свою чергу сприятиме подальшій діджиталізації сфери користування надрами</w:t>
            </w:r>
            <w:r w:rsidR="0057219B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756B5" w:rsidRPr="00D70514" w:rsidRDefault="0057219B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Спрощення процедури </w:t>
            </w: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державної </w:t>
            </w: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реєстрації та перереєстрації </w:t>
            </w: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робіт і досліджень, пов’язаних із геологічним вивченням надр</w:t>
            </w:r>
            <w:r w:rsidR="0038177C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027A9" w:rsidRPr="00D70514" w:rsidRDefault="002300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Підвищення </w:t>
            </w:r>
            <w:r w:rsidR="0057219B" w:rsidRPr="00D70514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прозорості та оперативності вирішення завдань у сфері надрокористування</w:t>
            </w:r>
            <w:r w:rsidR="004027A9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F1F08" w:rsidRDefault="004F1F08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надрокористування.</w:t>
            </w:r>
          </w:p>
          <w:p w:rsidR="0057219B" w:rsidRPr="00D70514" w:rsidRDefault="0057219B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Збереження об’єктів державного фонду родовищ корисних копалин, що обліковуються державним балансом запасів корисних копалин 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які є</w:t>
            </w: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потенційними для їх продажу на аукціоні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:rsidR="004027A9" w:rsidRPr="00D70514" w:rsidRDefault="003B6304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</w:tc>
        <w:tc>
          <w:tcPr>
            <w:tcW w:w="2684" w:type="dxa"/>
          </w:tcPr>
          <w:p w:rsidR="00A01622" w:rsidRPr="00D70514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B45FDC" w:rsidRPr="00D70514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81731D" w:rsidRPr="00D70514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D70514">
        <w:rPr>
          <w:rFonts w:eastAsia="Times New Roman"/>
          <w:sz w:val="26"/>
          <w:szCs w:val="26"/>
          <w:u w:val="single"/>
          <w:lang w:val="uk-UA" w:eastAsia="ru-RU"/>
        </w:rPr>
        <w:t>Оцінка впл</w:t>
      </w:r>
      <w:r w:rsidR="008A3865" w:rsidRPr="00D70514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E36BAB" w:rsidRPr="00D70514" w:rsidTr="0056058F">
        <w:tc>
          <w:tcPr>
            <w:tcW w:w="2448" w:type="dxa"/>
          </w:tcPr>
          <w:p w:rsidR="00E36BAB" w:rsidRPr="00D70514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:rsidR="00E36BAB" w:rsidRPr="00D70514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:rsidR="00E36BAB" w:rsidRPr="00D70514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E36BAB" w:rsidRPr="00D70514" w:rsidTr="0056058F">
        <w:tc>
          <w:tcPr>
            <w:tcW w:w="2448" w:type="dxa"/>
          </w:tcPr>
          <w:p w:rsidR="00E36BAB" w:rsidRPr="00D70514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1.</w:t>
            </w:r>
          </w:p>
          <w:p w:rsidR="00E36BAB" w:rsidRPr="00D70514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:rsidR="00E36BAB" w:rsidRPr="00D70514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F5B9B" w:rsidRPr="00D70514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  <w:tr w:rsidR="00E36BAB" w:rsidRPr="00D70514" w:rsidTr="0056058F">
        <w:tc>
          <w:tcPr>
            <w:tcW w:w="2448" w:type="dxa"/>
          </w:tcPr>
          <w:p w:rsidR="00E36BAB" w:rsidRPr="00D70514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:rsidR="00E36BAB" w:rsidRPr="00D70514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36BAB" w:rsidRPr="00D70514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8A3865" w:rsidRPr="00D70514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:rsidR="006A4007" w:rsidRPr="00D70514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D70514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:rsidR="008A3865" w:rsidRPr="00D70514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265"/>
        <w:gridCol w:w="1405"/>
        <w:gridCol w:w="1250"/>
        <w:gridCol w:w="1393"/>
        <w:gridCol w:w="1390"/>
      </w:tblGrid>
      <w:tr w:rsidR="00A01622" w:rsidRPr="00D70514" w:rsidTr="00A01622">
        <w:tc>
          <w:tcPr>
            <w:tcW w:w="2385" w:type="dxa"/>
          </w:tcPr>
          <w:p w:rsidR="00A01622" w:rsidRPr="00D70514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A01622" w:rsidRPr="00D70514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A01622" w:rsidRPr="00D70514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A01622" w:rsidRPr="00D70514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A01622" w:rsidRPr="00D70514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A01622" w:rsidRPr="00D70514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D70514" w:rsidTr="00A01622">
        <w:tc>
          <w:tcPr>
            <w:tcW w:w="2385" w:type="dxa"/>
          </w:tcPr>
          <w:p w:rsidR="00A01622" w:rsidRPr="00D70514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D70514" w:rsidTr="00A01622">
        <w:tc>
          <w:tcPr>
            <w:tcW w:w="2385" w:type="dxa"/>
          </w:tcPr>
          <w:p w:rsidR="00A01622" w:rsidRPr="00D70514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CD0C7D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D0C7D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8F6962" w:rsidRPr="00D70514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D70514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D70514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675"/>
        <w:gridCol w:w="3019"/>
      </w:tblGrid>
      <w:tr w:rsidR="00913FF1" w:rsidRPr="00D70514" w:rsidTr="00052585">
        <w:trPr>
          <w:trHeight w:val="20"/>
        </w:trPr>
        <w:tc>
          <w:tcPr>
            <w:tcW w:w="2485" w:type="dxa"/>
          </w:tcPr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:rsidR="00913FF1" w:rsidRPr="00D70514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D70514" w:rsidTr="00052585">
        <w:trPr>
          <w:trHeight w:val="20"/>
        </w:trPr>
        <w:tc>
          <w:tcPr>
            <w:tcW w:w="2485" w:type="dxa"/>
          </w:tcPr>
          <w:p w:rsidR="003E6CA5" w:rsidRPr="00D70514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:rsidR="00416292" w:rsidRPr="00D70514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D7051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:rsidR="0057219B" w:rsidRPr="00591C2F" w:rsidRDefault="00591C2F" w:rsidP="005D2E7C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trike/>
                <w:sz w:val="26"/>
                <w:szCs w:val="26"/>
                <w:lang w:val="uk-UA" w:eastAsia="uk-UA"/>
              </w:rPr>
            </w:pPr>
            <w:r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У разі неприйняття проєкту наказу  Міністерства захисту довкілля та природних ресурсів України «Про затвердження Змін до Порядку державної реєстрації робіт і досліджень, пов’язаних із геологічним вивченням надр»</w:t>
            </w:r>
            <w:r w:rsidR="00AD37A4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залишаються витрати суб’єктів господарювання на підготовку документів </w:t>
            </w:r>
            <w:r w:rsidR="0092305C" w:rsidRPr="0057219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</w:t>
            </w:r>
            <w:r w:rsidR="0057219B" w:rsidRPr="0057219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подання </w:t>
            </w:r>
            <w:r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їх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57219B" w:rsidRPr="0057219B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для здійснення державної реєстрації робіт і досліджень, пов’язаних із геологічним вивченням надр </w:t>
            </w:r>
            <w:r w:rsidR="00E90C0E" w:rsidRPr="0057219B">
              <w:rPr>
                <w:sz w:val="26"/>
                <w:szCs w:val="26"/>
                <w:lang w:val="uk-UA"/>
              </w:rPr>
              <w:t xml:space="preserve">виключно </w:t>
            </w:r>
            <w:r w:rsidR="00AD37A4" w:rsidRPr="0057219B">
              <w:rPr>
                <w:sz w:val="26"/>
                <w:szCs w:val="26"/>
                <w:lang w:val="uk-UA"/>
              </w:rPr>
              <w:t xml:space="preserve">в паперовій формі та на відправку даних документів </w:t>
            </w:r>
            <w:r w:rsidR="00D15787" w:rsidRPr="0057219B">
              <w:rPr>
                <w:rStyle w:val="aff1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засобами поштового зв’язку</w:t>
            </w:r>
            <w:r w:rsidR="00AD37A4" w:rsidRPr="0057219B">
              <w:rPr>
                <w:sz w:val="26"/>
                <w:szCs w:val="26"/>
                <w:lang w:val="uk-UA"/>
              </w:rPr>
              <w:t>.</w:t>
            </w:r>
          </w:p>
        </w:tc>
      </w:tr>
      <w:tr w:rsidR="007C624B" w:rsidRPr="00D70514" w:rsidTr="00052585">
        <w:trPr>
          <w:trHeight w:val="20"/>
        </w:trPr>
        <w:tc>
          <w:tcPr>
            <w:tcW w:w="2485" w:type="dxa"/>
          </w:tcPr>
          <w:p w:rsidR="00E62CDB" w:rsidRPr="00D70514" w:rsidRDefault="007C624B" w:rsidP="00AC2AE5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D70514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720" w:type="dxa"/>
          </w:tcPr>
          <w:p w:rsidR="003B2700" w:rsidRPr="00120878" w:rsidRDefault="00CE707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Спрощення процедури </w:t>
            </w:r>
            <w:r w:rsidR="00120878"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державної реєстрації робіт і досліджень, пов’язаних із геологічним вивченням надр</w:t>
            </w:r>
            <w:r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  <w:r w:rsidR="00AE0E19"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:rsidR="004027A9" w:rsidRPr="00120878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у сфері надрокористування. </w:t>
            </w:r>
          </w:p>
          <w:p w:rsidR="00120878" w:rsidRPr="005A67AC" w:rsidRDefault="004027A9" w:rsidP="005D2E7C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strike/>
                <w:sz w:val="26"/>
                <w:szCs w:val="26"/>
                <w:lang w:val="uk-UA" w:eastAsia="ru-RU"/>
              </w:rPr>
            </w:pPr>
            <w:r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Забезпечення прав та законних інте</w:t>
            </w:r>
            <w:r w:rsidR="003B2700" w:rsidRPr="00120878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</w:tc>
        <w:tc>
          <w:tcPr>
            <w:tcW w:w="3065" w:type="dxa"/>
          </w:tcPr>
          <w:p w:rsidR="00B73752" w:rsidRPr="00120878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20878">
              <w:rPr>
                <w:color w:val="000000"/>
                <w:sz w:val="26"/>
                <w:szCs w:val="26"/>
                <w:lang w:val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B73752" w:rsidRPr="00120878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20878">
              <w:rPr>
                <w:color w:val="000000"/>
                <w:sz w:val="26"/>
                <w:szCs w:val="26"/>
                <w:lang w:val="uk-UA"/>
              </w:rPr>
              <w:t>А саме: 0,5 год на ознайомлення з нормативно-правовим актом.</w:t>
            </w:r>
          </w:p>
        </w:tc>
      </w:tr>
    </w:tbl>
    <w:p w:rsidR="00645A05" w:rsidRPr="00D70514" w:rsidRDefault="00645A05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0"/>
          <w:szCs w:val="20"/>
          <w:lang w:val="uk-UA" w:eastAsia="ru-RU"/>
        </w:rPr>
      </w:pPr>
      <w:bookmarkStart w:id="1" w:name="_Hlk16164988"/>
    </w:p>
    <w:p w:rsidR="00D068F4" w:rsidRPr="00D70514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ТЕСТ</w:t>
      </w:r>
      <w:r w:rsidR="008E2888" w:rsidRPr="00D70514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:rsidR="00D068F4" w:rsidRPr="00D70514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:rsidR="00D068F4" w:rsidRPr="00120878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120878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120878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:rsidR="00D068F4" w:rsidRPr="00120878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120878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5D2E7C">
        <w:rPr>
          <w:rFonts w:eastAsia="Times New Roman"/>
          <w:sz w:val="26"/>
          <w:szCs w:val="26"/>
          <w:lang w:val="uk-UA" w:eastAsia="ru-RU"/>
        </w:rPr>
        <w:t xml:space="preserve">з </w:t>
      </w:r>
      <w:r w:rsidR="00B340B7" w:rsidRPr="005D2E7C">
        <w:rPr>
          <w:rFonts w:eastAsia="Times New Roman"/>
          <w:sz w:val="26"/>
          <w:szCs w:val="26"/>
          <w:lang w:val="uk-UA" w:eastAsia="ru-RU"/>
        </w:rPr>
        <w:t>1</w:t>
      </w:r>
      <w:r w:rsidR="00120878" w:rsidRPr="005D2E7C">
        <w:rPr>
          <w:rFonts w:eastAsia="Times New Roman"/>
          <w:sz w:val="26"/>
          <w:szCs w:val="26"/>
          <w:lang w:val="uk-UA" w:eastAsia="ru-RU"/>
        </w:rPr>
        <w:t>6</w:t>
      </w:r>
      <w:r w:rsidR="003C470B" w:rsidRPr="005D2E7C">
        <w:rPr>
          <w:rFonts w:eastAsia="Times New Roman"/>
          <w:sz w:val="26"/>
          <w:szCs w:val="26"/>
          <w:lang w:val="uk-UA" w:eastAsia="ru-RU"/>
        </w:rPr>
        <w:t>.</w:t>
      </w:r>
      <w:r w:rsidR="00CD0C7D" w:rsidRPr="005D2E7C">
        <w:rPr>
          <w:rFonts w:eastAsia="Times New Roman"/>
          <w:sz w:val="26"/>
          <w:szCs w:val="26"/>
          <w:lang w:val="uk-UA" w:eastAsia="ru-RU"/>
        </w:rPr>
        <w:t>05</w:t>
      </w:r>
      <w:r w:rsidR="00176DD3" w:rsidRPr="005D2E7C">
        <w:rPr>
          <w:rFonts w:eastAsia="Times New Roman"/>
          <w:sz w:val="26"/>
          <w:szCs w:val="26"/>
          <w:lang w:val="uk-UA" w:eastAsia="ru-RU"/>
        </w:rPr>
        <w:t>.20</w:t>
      </w:r>
      <w:r w:rsidR="009827C4" w:rsidRPr="005D2E7C">
        <w:rPr>
          <w:rFonts w:eastAsia="Times New Roman"/>
          <w:sz w:val="26"/>
          <w:szCs w:val="26"/>
          <w:lang w:val="uk-UA" w:eastAsia="ru-RU"/>
        </w:rPr>
        <w:t>2</w:t>
      </w:r>
      <w:r w:rsidR="00CD0C7D" w:rsidRPr="005D2E7C">
        <w:rPr>
          <w:rFonts w:eastAsia="Times New Roman"/>
          <w:sz w:val="26"/>
          <w:szCs w:val="26"/>
          <w:lang w:val="uk-UA" w:eastAsia="ru-RU"/>
        </w:rPr>
        <w:t>2</w:t>
      </w:r>
      <w:r w:rsidRPr="005D2E7C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B340B7" w:rsidRPr="005D2E7C">
        <w:rPr>
          <w:rFonts w:eastAsia="Times New Roman"/>
          <w:sz w:val="26"/>
          <w:szCs w:val="26"/>
          <w:lang w:val="uk-UA" w:eastAsia="ru-RU"/>
        </w:rPr>
        <w:t>0</w:t>
      </w:r>
      <w:r w:rsidR="00120878" w:rsidRPr="005D2E7C">
        <w:rPr>
          <w:rFonts w:eastAsia="Times New Roman"/>
          <w:sz w:val="26"/>
          <w:szCs w:val="26"/>
          <w:lang w:val="uk-UA" w:eastAsia="ru-RU"/>
        </w:rPr>
        <w:t>2</w:t>
      </w:r>
      <w:r w:rsidR="003C470B" w:rsidRPr="005D2E7C">
        <w:rPr>
          <w:rFonts w:eastAsia="Times New Roman"/>
          <w:sz w:val="26"/>
          <w:szCs w:val="26"/>
          <w:lang w:val="uk-UA" w:eastAsia="ru-RU"/>
        </w:rPr>
        <w:t>.</w:t>
      </w:r>
      <w:r w:rsidR="00CD0C7D" w:rsidRPr="005D2E7C">
        <w:rPr>
          <w:rFonts w:eastAsia="Times New Roman"/>
          <w:sz w:val="26"/>
          <w:szCs w:val="26"/>
          <w:lang w:val="uk-UA" w:eastAsia="ru-RU"/>
        </w:rPr>
        <w:t>06</w:t>
      </w:r>
      <w:r w:rsidR="003B2700" w:rsidRPr="005D2E7C">
        <w:rPr>
          <w:rFonts w:eastAsia="Times New Roman"/>
          <w:sz w:val="26"/>
          <w:szCs w:val="26"/>
          <w:lang w:val="uk-UA" w:eastAsia="ru-RU"/>
        </w:rPr>
        <w:t>.202</w:t>
      </w:r>
      <w:r w:rsidR="00CD0C7D" w:rsidRPr="005D2E7C">
        <w:rPr>
          <w:rFonts w:eastAsia="Times New Roman"/>
          <w:sz w:val="26"/>
          <w:szCs w:val="26"/>
          <w:lang w:val="uk-UA" w:eastAsia="ru-RU"/>
        </w:rPr>
        <w:t>2</w:t>
      </w:r>
      <w:r w:rsidRPr="005D2E7C">
        <w:rPr>
          <w:rFonts w:eastAsia="Times New Roman"/>
          <w:sz w:val="26"/>
          <w:szCs w:val="26"/>
          <w:lang w:val="uk-UA" w:eastAsia="ru-RU"/>
        </w:rPr>
        <w:t>.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120878" w:rsidRPr="00120878" w:rsidTr="00063AA9">
        <w:tc>
          <w:tcPr>
            <w:tcW w:w="1384" w:type="dxa"/>
            <w:shd w:val="clear" w:color="auto" w:fill="auto"/>
            <w:vAlign w:val="center"/>
          </w:tcPr>
          <w:p w:rsidR="00D068F4" w:rsidRPr="00120878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20878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68F4" w:rsidRPr="00120878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20878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8F4" w:rsidRPr="00120878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20878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D068F4" w:rsidRPr="00120878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120878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5D2E7C" w:rsidRPr="005D2E7C" w:rsidTr="00063AA9">
        <w:tc>
          <w:tcPr>
            <w:tcW w:w="1384" w:type="dxa"/>
            <w:shd w:val="clear" w:color="auto" w:fill="auto"/>
          </w:tcPr>
          <w:p w:rsidR="00D068F4" w:rsidRPr="005D2E7C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5D2E7C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B2806" w:rsidRPr="005D2E7C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5D2E7C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5D2E7C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5D2E7C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D068F4" w:rsidRPr="005D2E7C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5D2E7C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D068F4" w:rsidRPr="005D2E7C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5D2E7C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D068F4" w:rsidRPr="005D2E7C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5D2E7C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5D2E7C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5D2E7C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5D2E7C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5D2E7C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5D2E7C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:rsidR="007E22A1" w:rsidRPr="005D2E7C" w:rsidRDefault="00940D9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:rsidR="00D068F4" w:rsidRPr="00D70514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D068F4" w:rsidRPr="00D70514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2.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D70514">
        <w:rPr>
          <w:rFonts w:eastAsia="Times New Roman"/>
          <w:b/>
          <w:sz w:val="26"/>
          <w:szCs w:val="26"/>
          <w:lang w:val="uk-UA" w:eastAsia="ru-RU"/>
        </w:rPr>
        <w:t>:</w:t>
      </w:r>
    </w:p>
    <w:p w:rsidR="00D068F4" w:rsidRPr="00D70514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D70514">
        <w:rPr>
          <w:rFonts w:eastAsia="Times New Roman"/>
          <w:sz w:val="26"/>
          <w:szCs w:val="26"/>
          <w:lang w:val="uk-UA" w:eastAsia="ru-RU"/>
        </w:rPr>
        <w:t>2326.</w:t>
      </w:r>
    </w:p>
    <w:p w:rsidR="00D068F4" w:rsidRPr="00D70514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питома вага суб'єктів малого</w:t>
      </w:r>
      <w:r w:rsidR="0023635A" w:rsidRPr="00D70514">
        <w:rPr>
          <w:rFonts w:eastAsia="Times New Roman"/>
          <w:sz w:val="26"/>
          <w:szCs w:val="26"/>
          <w:lang w:val="uk-UA" w:eastAsia="ru-RU"/>
        </w:rPr>
        <w:t xml:space="preserve"> (мікро)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підприємництва у загальній кількості суб'єктів господарювання, на яких проблема справляє вплив </w:t>
      </w:r>
      <w:r w:rsidR="00052585" w:rsidRPr="00D70514">
        <w:rPr>
          <w:rFonts w:eastAsia="Times New Roman"/>
          <w:sz w:val="26"/>
          <w:szCs w:val="26"/>
          <w:lang w:val="uk-UA" w:eastAsia="ru-RU"/>
        </w:rPr>
        <w:t>81,5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%.</w:t>
      </w:r>
    </w:p>
    <w:p w:rsidR="0039195D" w:rsidRPr="00D70514" w:rsidRDefault="00D068F4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D70514">
        <w:rPr>
          <w:rFonts w:eastAsia="Times New Roman"/>
          <w:b/>
          <w:sz w:val="26"/>
          <w:szCs w:val="26"/>
          <w:lang w:val="uk-UA" w:eastAsia="ru-RU"/>
        </w:rPr>
        <w:t>.</w:t>
      </w:r>
    </w:p>
    <w:p w:rsidR="005A4334" w:rsidRPr="00D70514" w:rsidRDefault="00C220D3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9241DF" w:rsidRPr="00D70514">
        <w:rPr>
          <w:rFonts w:eastAsia="Times New Roman"/>
          <w:sz w:val="26"/>
          <w:szCs w:val="26"/>
          <w:lang w:val="uk-UA" w:eastAsia="ru-RU"/>
        </w:rPr>
        <w:t>1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рік», </w:t>
      </w:r>
      <w:r w:rsidR="00AC3479" w:rsidRPr="00D70514">
        <w:rPr>
          <w:rFonts w:eastAsia="Times New Roman"/>
          <w:sz w:val="26"/>
          <w:szCs w:val="26"/>
          <w:lang w:val="uk-UA" w:eastAsia="ru-RU"/>
        </w:rPr>
        <w:t xml:space="preserve">з 1 </w:t>
      </w:r>
      <w:r w:rsidR="00F953EA" w:rsidRPr="00D70514">
        <w:rPr>
          <w:rFonts w:eastAsia="Times New Roman"/>
          <w:sz w:val="26"/>
          <w:szCs w:val="26"/>
          <w:lang w:val="uk-UA" w:eastAsia="ru-RU"/>
        </w:rPr>
        <w:t>січня</w:t>
      </w:r>
      <w:r w:rsidR="00AC3479" w:rsidRPr="00D70514">
        <w:rPr>
          <w:rFonts w:eastAsia="Times New Roman"/>
          <w:sz w:val="26"/>
          <w:szCs w:val="26"/>
          <w:lang w:val="uk-UA" w:eastAsia="ru-RU"/>
        </w:rPr>
        <w:t xml:space="preserve"> 202</w:t>
      </w:r>
      <w:r w:rsidR="00F953EA" w:rsidRPr="00D70514">
        <w:rPr>
          <w:rFonts w:eastAsia="Times New Roman"/>
          <w:sz w:val="26"/>
          <w:szCs w:val="26"/>
          <w:lang w:val="uk-UA" w:eastAsia="ru-RU"/>
        </w:rPr>
        <w:t>2</w:t>
      </w:r>
      <w:r w:rsidR="00AC3479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="0023635A" w:rsidRPr="00D70514">
        <w:rPr>
          <w:rFonts w:eastAsia="Times New Roman"/>
          <w:sz w:val="26"/>
          <w:szCs w:val="26"/>
          <w:lang w:val="uk-UA" w:eastAsia="ru-RU"/>
        </w:rPr>
        <w:t>року становить – 39,</w:t>
      </w:r>
      <w:r w:rsidR="00F953EA" w:rsidRPr="00D70514">
        <w:rPr>
          <w:rFonts w:eastAsia="Times New Roman"/>
          <w:sz w:val="26"/>
          <w:szCs w:val="26"/>
          <w:lang w:val="uk-UA" w:eastAsia="ru-RU"/>
        </w:rPr>
        <w:t>26</w:t>
      </w:r>
      <w:r w:rsidR="0023635A" w:rsidRPr="00D70514">
        <w:rPr>
          <w:rFonts w:eastAsia="Times New Roman"/>
          <w:sz w:val="26"/>
          <w:szCs w:val="26"/>
          <w:lang w:val="uk-UA" w:eastAsia="ru-RU"/>
        </w:rPr>
        <w:t xml:space="preserve"> гривні.</w:t>
      </w:r>
    </w:p>
    <w:p w:rsidR="0039195D" w:rsidRPr="00D70514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sz w:val="26"/>
          <w:szCs w:val="26"/>
          <w:lang w:val="uk-UA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D70514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r w:rsidR="00490A10" w:rsidRPr="00D70514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D70514">
        <w:rPr>
          <w:rFonts w:eastAsia="Times New Roman"/>
          <w:sz w:val="26"/>
          <w:szCs w:val="26"/>
          <w:lang w:val="uk-UA" w:eastAsia="ru-RU"/>
        </w:rPr>
        <w:t xml:space="preserve">кту </w:t>
      </w:r>
      <w:r w:rsidR="00155347" w:rsidRPr="00D70514">
        <w:rPr>
          <w:sz w:val="26"/>
          <w:szCs w:val="26"/>
          <w:lang w:val="uk-UA"/>
        </w:rPr>
        <w:t>наказу Міністерства захисту довкілля та природних ресурсів України «</w:t>
      </w:r>
      <w:r w:rsidR="006E423C" w:rsidRPr="006E423C">
        <w:rPr>
          <w:sz w:val="26"/>
          <w:szCs w:val="26"/>
          <w:lang w:val="uk-UA"/>
        </w:rPr>
        <w:t>Про затвердження Змін до Порядку державної реєстрації робіт і досліджень, пов’язаних із геологічним вивченням надр</w:t>
      </w:r>
      <w:r w:rsidR="00155347" w:rsidRPr="00D70514">
        <w:rPr>
          <w:sz w:val="26"/>
          <w:szCs w:val="26"/>
          <w:lang w:val="uk-UA"/>
        </w:rPr>
        <w:t>»</w:t>
      </w:r>
      <w:r w:rsidR="001618FF" w:rsidRPr="00D70514">
        <w:rPr>
          <w:sz w:val="26"/>
          <w:szCs w:val="26"/>
          <w:lang w:val="uk-UA"/>
        </w:rPr>
        <w:t xml:space="preserve"> </w:t>
      </w:r>
      <w:r w:rsidR="00AE0E19" w:rsidRPr="00D70514">
        <w:rPr>
          <w:rFonts w:eastAsia="Times New Roman"/>
          <w:sz w:val="26"/>
          <w:szCs w:val="26"/>
          <w:lang w:val="uk-UA" w:eastAsia="ru-RU"/>
        </w:rPr>
        <w:t>на офіційному веб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сайті </w:t>
      </w:r>
      <w:r w:rsidR="004210EE" w:rsidRPr="00D70514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D70514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39195D" w:rsidRPr="00D70514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Інформація про розмір часу, який витрачається суб’єктами на отримання зазначеної інформації</w:t>
      </w:r>
      <w:r w:rsidR="00AE0E19" w:rsidRPr="00D70514">
        <w:rPr>
          <w:rFonts w:eastAsia="Times New Roman"/>
          <w:sz w:val="26"/>
          <w:szCs w:val="26"/>
          <w:lang w:val="uk-UA" w:eastAsia="ru-RU"/>
        </w:rPr>
        <w:t>,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490A10" w:rsidRPr="00D70514" w:rsidRDefault="00490A10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:rsidR="00C07ECB" w:rsidRPr="00D70514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C07ECB" w:rsidRPr="00D70514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07ECB" w:rsidRPr="00D70514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C07ECB" w:rsidRPr="00D70514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D70514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D70514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7ECB" w:rsidRPr="00D70514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:rsidR="00C07ECB" w:rsidRPr="00D70514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D70514" w:rsidTr="00C07ECB">
        <w:tc>
          <w:tcPr>
            <w:tcW w:w="9540" w:type="dxa"/>
            <w:gridSpan w:val="9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07ECB" w:rsidRPr="00D70514" w:rsidTr="00C07ECB"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D70514" w:rsidTr="00C07ECB"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6E423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D70514" w:rsidTr="00C07ECB"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D70514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D70514" w:rsidTr="00C07ECB">
        <w:trPr>
          <w:trHeight w:val="840"/>
        </w:trPr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D70514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D70514" w:rsidTr="00C07ECB"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D70514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D70514" w:rsidTr="00C07ECB"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:rsidR="00F3143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D70514" w:rsidTr="00C07ECB"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D70514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D70514" w:rsidTr="00C07ECB">
        <w:tc>
          <w:tcPr>
            <w:tcW w:w="990" w:type="dxa"/>
            <w:shd w:val="clear" w:color="auto" w:fill="auto"/>
          </w:tcPr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:rsidR="00F3143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D70514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D70514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D70514" w:rsidTr="0049181B">
        <w:tc>
          <w:tcPr>
            <w:tcW w:w="9540" w:type="dxa"/>
            <w:gridSpan w:val="9"/>
            <w:shd w:val="clear" w:color="auto" w:fill="auto"/>
          </w:tcPr>
          <w:p w:rsidR="00692C0F" w:rsidRPr="00D70514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2" w:name="_Hlk508910343"/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C37054" w:rsidRPr="00D70514" w:rsidTr="00A05264"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0,5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Pr="00D70514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Х 39,</w:t>
            </w:r>
            <w:r w:rsidR="00185E08" w:rsidRPr="00D70514">
              <w:rPr>
                <w:rFonts w:eastAsia="Times New Roman"/>
                <w:sz w:val="26"/>
                <w:szCs w:val="26"/>
                <w:lang w:val="uk-UA" w:eastAsia="ru-RU"/>
              </w:rPr>
              <w:t>26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грн. = </w:t>
            </w:r>
          </w:p>
          <w:p w:rsidR="00C37054" w:rsidRPr="00D70514" w:rsidRDefault="00C37054" w:rsidP="00185E08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</w:t>
            </w:r>
            <w:r w:rsidR="00185E08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63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:rsidR="00C37054" w:rsidRPr="00D70514" w:rsidRDefault="00C37054" w:rsidP="00C3705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 грн.</w:t>
            </w:r>
          </w:p>
        </w:tc>
      </w:tr>
      <w:tr w:rsidR="00C37054" w:rsidRPr="00D70514" w:rsidTr="00A05264"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C37054" w:rsidRPr="00D70514" w:rsidTr="00A05264"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Процедури офіційного звітування. </w:t>
            </w:r>
          </w:p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C37054" w:rsidRPr="00D70514" w:rsidTr="00A05264">
        <w:trPr>
          <w:trHeight w:val="840"/>
        </w:trPr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Процедури щодо забезпечення процесу перевірок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C37054" w:rsidRPr="00D70514" w:rsidTr="00A05264"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C37054" w:rsidRPr="00D70514" w:rsidTr="00A05264">
        <w:trPr>
          <w:trHeight w:val="777"/>
        </w:trPr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185E08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</w:t>
            </w:r>
            <w:r w:rsidR="00185E08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63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C37054" w:rsidRPr="00D70514" w:rsidRDefault="00C37054" w:rsidP="00185E08">
            <w:pPr>
              <w:widowControl w:val="0"/>
              <w:tabs>
                <w:tab w:val="left" w:pos="990"/>
              </w:tabs>
              <w:spacing w:before="120" w:after="120"/>
              <w:ind w:hanging="34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</w:t>
            </w:r>
            <w:r w:rsidR="00185E08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63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C37054" w:rsidRPr="00D70514" w:rsidTr="00A05264">
        <w:trPr>
          <w:trHeight w:val="921"/>
        </w:trPr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C37054" w:rsidRPr="00D70514" w:rsidTr="00A05264">
        <w:trPr>
          <w:trHeight w:val="480"/>
        </w:trPr>
        <w:tc>
          <w:tcPr>
            <w:tcW w:w="990" w:type="dxa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7054" w:rsidRPr="00D70514" w:rsidRDefault="00C37054" w:rsidP="00185E08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45</w:t>
            </w:r>
            <w:r w:rsidR="00185E08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659,38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C37054" w:rsidRPr="00D70514" w:rsidRDefault="00C37054" w:rsidP="00C37054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C37054" w:rsidRPr="00D70514" w:rsidRDefault="00185E08" w:rsidP="00C37054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45659,38 </w:t>
            </w:r>
            <w:r w:rsidR="00C37054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</w:t>
            </w:r>
          </w:p>
        </w:tc>
      </w:tr>
    </w:tbl>
    <w:p w:rsidR="0049181B" w:rsidRPr="00D70514" w:rsidRDefault="0049181B" w:rsidP="00FA7487">
      <w:pPr>
        <w:rPr>
          <w:sz w:val="16"/>
          <w:szCs w:val="16"/>
          <w:lang w:val="uk-UA"/>
        </w:rPr>
      </w:pPr>
    </w:p>
    <w:bookmarkEnd w:id="1"/>
    <w:bookmarkEnd w:id="2"/>
    <w:p w:rsidR="00E32243" w:rsidRPr="00D70514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D70514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D70514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D70514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D70514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D70514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C37054" w:rsidRPr="00D70514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4" w:rsidRPr="00D70514" w:rsidRDefault="00C37054" w:rsidP="00C37054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185E08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</w:t>
            </w:r>
            <w:r w:rsidR="00185E08" w:rsidRPr="00D70514"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185E08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</w:t>
            </w:r>
            <w:r w:rsidR="00185E08" w:rsidRPr="00D70514"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C37054" w:rsidRPr="00D70514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4" w:rsidRPr="00D70514" w:rsidRDefault="00C37054" w:rsidP="00C37054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C37054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0.00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C37054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0.00 грн </w:t>
            </w:r>
          </w:p>
        </w:tc>
      </w:tr>
      <w:tr w:rsidR="00C37054" w:rsidRPr="00D70514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C37054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185E08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</w:t>
            </w:r>
            <w:r w:rsidR="00185E08" w:rsidRPr="00D70514"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185E08">
            <w:pPr>
              <w:tabs>
                <w:tab w:val="left" w:pos="552"/>
                <w:tab w:val="center" w:pos="801"/>
              </w:tabs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</w:t>
            </w:r>
            <w:r w:rsidR="00185E08" w:rsidRPr="00D70514">
              <w:rPr>
                <w:rFonts w:eastAsia="Times New Roman"/>
                <w:sz w:val="26"/>
                <w:szCs w:val="26"/>
                <w:lang w:val="uk-UA" w:eastAsia="ru-RU"/>
              </w:rPr>
              <w:t>63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грн</w:t>
            </w:r>
          </w:p>
        </w:tc>
      </w:tr>
      <w:tr w:rsidR="00C37054" w:rsidRPr="00D70514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C37054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C37054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C37054" w:rsidRPr="00D70514" w:rsidRDefault="00C37054" w:rsidP="00C37054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C37054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C37054" w:rsidRPr="00D70514" w:rsidRDefault="00C37054" w:rsidP="00C37054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C37054" w:rsidRPr="00D70514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C37054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C37054" w:rsidRPr="00D70514" w:rsidRDefault="00C37054" w:rsidP="00C37054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C37054" w:rsidP="00185E08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</w:t>
            </w:r>
            <w:r w:rsidR="00185E08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325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,</w:t>
            </w:r>
            <w:r w:rsidR="00185E08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38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4" w:rsidRPr="00D70514" w:rsidRDefault="00185E08" w:rsidP="00185E08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10325,38 </w:t>
            </w:r>
            <w:r w:rsidR="00C37054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грн.</w:t>
            </w:r>
          </w:p>
        </w:tc>
      </w:tr>
      <w:tr w:rsidR="00856E3E" w:rsidRPr="00D70514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D70514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5D2E7C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D70514" w:rsidRDefault="001239AA" w:rsidP="007A4E65">
            <w:pPr>
              <w:widowControl w:val="0"/>
              <w:tabs>
                <w:tab w:val="left" w:pos="990"/>
              </w:tabs>
              <w:spacing w:before="120"/>
              <w:ind w:left="27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Невиконання вимог законодавства</w:t>
            </w:r>
            <w:r w:rsidR="007A4E65"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в </w:t>
            </w:r>
            <w:r w:rsidR="007A4E65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частині </w:t>
            </w:r>
            <w:r w:rsidR="007A4E65"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здійснення поступового цифрування </w:t>
            </w:r>
            <w:r w:rsidR="00B35026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процедури</w:t>
            </w:r>
            <w:r w:rsidR="00B3502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A93390"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державної реєстрації робіт і досліджень, пов’язаних із геологічним вивченням надр, що в свою чергу </w:t>
            </w:r>
            <w:r w:rsidR="00A933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не </w:t>
            </w:r>
            <w:r w:rsidR="00A93390"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сприятиме подальшій діджиталізації сфери користування надрами</w:t>
            </w:r>
            <w:r w:rsidR="007A4E65"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</w:tc>
      </w:tr>
      <w:tr w:rsidR="00E32243" w:rsidRPr="005D2E7C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E32243" w:rsidRPr="00D70514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E32243" w:rsidRPr="00D70514" w:rsidRDefault="00A3269B" w:rsidP="00A93390">
            <w:pPr>
              <w:widowControl w:val="0"/>
              <w:tabs>
                <w:tab w:val="left" w:pos="990"/>
              </w:tabs>
              <w:spacing w:before="120"/>
              <w:ind w:left="27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="0092305C"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</w:t>
            </w:r>
            <w:r w:rsidR="00A93390" w:rsidRPr="00A933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державної реєстрації робіт і досліджень, пов’язаних із геологічним вивченням надр</w:t>
            </w:r>
            <w:r w:rsidR="0092305C"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E90C0E" w:rsidRPr="00D70514">
              <w:rPr>
                <w:sz w:val="26"/>
                <w:szCs w:val="26"/>
                <w:lang w:val="uk-UA"/>
              </w:rPr>
              <w:t xml:space="preserve">виключно </w:t>
            </w:r>
            <w:r w:rsidRPr="00D70514">
              <w:rPr>
                <w:sz w:val="26"/>
                <w:szCs w:val="26"/>
                <w:lang w:val="uk-UA"/>
              </w:rPr>
              <w:t xml:space="preserve">в паперовій формі та на відправку даних документів </w:t>
            </w:r>
            <w:r w:rsidRPr="00D70514">
              <w:rPr>
                <w:rStyle w:val="aff1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засобами поштового зв’язку</w:t>
            </w:r>
            <w:r w:rsidRPr="00D70514">
              <w:rPr>
                <w:sz w:val="26"/>
                <w:szCs w:val="26"/>
                <w:lang w:val="uk-UA"/>
              </w:rPr>
              <w:t>.</w:t>
            </w:r>
          </w:p>
        </w:tc>
      </w:tr>
      <w:tr w:rsidR="00A93390" w:rsidRPr="005D2E7C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A93390" w:rsidRPr="00D70514" w:rsidRDefault="00A93390" w:rsidP="00A93390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A93390" w:rsidRPr="00D70514" w:rsidRDefault="00A93390" w:rsidP="00A93390">
            <w:pPr>
              <w:widowControl w:val="0"/>
              <w:tabs>
                <w:tab w:val="left" w:pos="990"/>
              </w:tabs>
              <w:spacing w:before="120"/>
              <w:ind w:left="27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 xml:space="preserve">Витрати суб’єктів господарювання на підготовку документів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 метою </w:t>
            </w:r>
            <w:r w:rsidRPr="00A93390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державної реєстрації робіт і досліджень, пов’язаних із геологічним вивченням надр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D70514">
              <w:rPr>
                <w:sz w:val="26"/>
                <w:szCs w:val="26"/>
                <w:lang w:val="uk-UA"/>
              </w:rPr>
              <w:t xml:space="preserve">виключно в паперовій формі та на відправку даних документів </w:t>
            </w:r>
            <w:r w:rsidRPr="00D70514">
              <w:rPr>
                <w:rStyle w:val="aff1"/>
                <w:bCs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засобами поштового зв’язку</w:t>
            </w:r>
            <w:r w:rsidRPr="00D70514">
              <w:rPr>
                <w:sz w:val="26"/>
                <w:szCs w:val="26"/>
                <w:lang w:val="uk-UA"/>
              </w:rPr>
              <w:t>.</w:t>
            </w:r>
          </w:p>
        </w:tc>
      </w:tr>
      <w:tr w:rsidR="00856E3E" w:rsidRPr="00D70514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3" w:name="_Hlk16069202"/>
            <w:r w:rsidRPr="00D70514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D70514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D70514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D70514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D70514" w:rsidRDefault="001239AA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Відсутні </w:t>
            </w:r>
          </w:p>
        </w:tc>
      </w:tr>
      <w:tr w:rsidR="009F0E91" w:rsidRPr="00D70514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9F0E91" w:rsidRPr="00D70514" w:rsidRDefault="009F0E91" w:rsidP="009F0E9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9F0E91" w:rsidRPr="00D70514" w:rsidRDefault="0078371A" w:rsidP="0078371A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10325,38 </w:t>
            </w:r>
            <w:r w:rsidR="009F0E91" w:rsidRPr="00D70514">
              <w:rPr>
                <w:rFonts w:eastAsia="Times New Roman"/>
                <w:sz w:val="26"/>
                <w:szCs w:val="26"/>
                <w:lang w:val="uk-UA" w:eastAsia="ru-RU"/>
              </w:rPr>
              <w:t>грн.</w:t>
            </w:r>
          </w:p>
        </w:tc>
      </w:tr>
      <w:tr w:rsidR="009F0E91" w:rsidRPr="00D70514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9F0E91" w:rsidRPr="00D70514" w:rsidRDefault="009F0E91" w:rsidP="009F0E9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9F0E91" w:rsidRPr="00D70514" w:rsidRDefault="0078371A" w:rsidP="0078371A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45659,38 </w:t>
            </w:r>
            <w:r w:rsidR="009F0E91" w:rsidRPr="00D70514">
              <w:rPr>
                <w:rFonts w:eastAsia="Times New Roman"/>
                <w:sz w:val="26"/>
                <w:szCs w:val="26"/>
                <w:lang w:val="uk-UA" w:eastAsia="ru-RU"/>
              </w:rPr>
              <w:t>грн.</w:t>
            </w:r>
          </w:p>
        </w:tc>
      </w:tr>
      <w:bookmarkEnd w:id="3"/>
    </w:tbl>
    <w:p w:rsidR="00DC042B" w:rsidRPr="00D70514" w:rsidRDefault="00DC042B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C240C3" w:rsidRPr="00D70514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D70514" w:rsidTr="00191984">
        <w:tc>
          <w:tcPr>
            <w:tcW w:w="2430" w:type="dxa"/>
          </w:tcPr>
          <w:p w:rsidR="00C240C3" w:rsidRPr="00D70514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:rsidR="00C240C3" w:rsidRPr="00D70514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:rsidR="00C240C3" w:rsidRPr="00D70514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382BB0" w:rsidRPr="00D70514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D70514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82BB0" w:rsidRPr="00D70514" w:rsidRDefault="00382BB0" w:rsidP="0023635A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382BB0" w:rsidRPr="00D70514" w:rsidRDefault="005F392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D70514">
              <w:rPr>
                <w:sz w:val="26"/>
                <w:szCs w:val="26"/>
                <w:lang w:val="uk-UA"/>
              </w:rPr>
              <w:t xml:space="preserve"> 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E421CE" w:rsidRPr="00D70514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Аналізу.</w:t>
            </w:r>
          </w:p>
        </w:tc>
      </w:tr>
      <w:tr w:rsidR="00F111FF" w:rsidRPr="00D70514" w:rsidTr="00191984">
        <w:tc>
          <w:tcPr>
            <w:tcW w:w="2430" w:type="dxa"/>
            <w:tcBorders>
              <w:bottom w:val="single" w:sz="4" w:space="0" w:color="auto"/>
            </w:tcBorders>
          </w:tcPr>
          <w:p w:rsidR="00F111FF" w:rsidRPr="00D70514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F111FF" w:rsidRPr="00D70514" w:rsidRDefault="00F111FF" w:rsidP="0023635A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A564A2" w:rsidRPr="00D70514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:rsidR="008F5296" w:rsidRPr="00D70514" w:rsidRDefault="00C42778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поступового </w:t>
            </w:r>
            <w:r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цифрування </w:t>
            </w:r>
            <w:r w:rsidR="00B35026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процедури </w:t>
            </w:r>
            <w:r w:rsidR="008E0FB9"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державної реєстрації робіт і досліджень, пов’язаних із геологічним вивченням надр, що в свою чергу сприятиме подальшій діджиталізації сфери користування надрами</w:t>
            </w:r>
            <w:r w:rsidR="008F5296" w:rsidRPr="00D70514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:rsidR="008F5296" w:rsidRPr="00D70514" w:rsidRDefault="008E0FB9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спрощення процедури </w:t>
            </w: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державної </w:t>
            </w:r>
            <w:r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реєстрації та перереєстрації </w:t>
            </w: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робіт і досліджень, пов’язаних із геологічним вивченням надр</w:t>
            </w:r>
            <w:r w:rsidR="009C3067" w:rsidRPr="00D70514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:rsidR="008F5296" w:rsidRPr="00D70514" w:rsidRDefault="008E0FB9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підвищення прозорості та оперативності вирішення завдань у сфері надрокористування</w:t>
            </w:r>
            <w:r w:rsidR="008F5296" w:rsidRPr="00D70514">
              <w:rPr>
                <w:rFonts w:eastAsia="Times New Roman"/>
                <w:sz w:val="26"/>
                <w:szCs w:val="26"/>
                <w:lang w:val="uk-UA" w:eastAsia="ru-RU"/>
              </w:rPr>
              <w:t>;</w:t>
            </w:r>
          </w:p>
          <w:p w:rsidR="008F5296" w:rsidRDefault="008F529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надрокористування;</w:t>
            </w:r>
          </w:p>
          <w:p w:rsidR="008E0FB9" w:rsidRPr="00D70514" w:rsidRDefault="008E0FB9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збереження об’єктів державного фонду родовищ корисних копалин, що обліковуються державним балансом запасів корисних копалин 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які є</w:t>
            </w:r>
            <w:r w:rsidRPr="00DC6DE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потенційними для їх продажу на аукціоні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;</w:t>
            </w:r>
          </w:p>
          <w:p w:rsidR="00F111FF" w:rsidRPr="00D70514" w:rsidRDefault="008F5296" w:rsidP="005B4C13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наближення законодавства України до Євр</w:t>
            </w:r>
            <w:r w:rsidR="005B4C13" w:rsidRPr="00D70514">
              <w:rPr>
                <w:rFonts w:eastAsia="Times New Roman"/>
                <w:sz w:val="26"/>
                <w:szCs w:val="26"/>
                <w:lang w:val="uk-UA" w:eastAsia="ru-RU"/>
              </w:rPr>
              <w:t>опейського рівня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EC6739" w:rsidRPr="00D70514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D70514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D70514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D70514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D70514" w:rsidTr="00191984">
        <w:tc>
          <w:tcPr>
            <w:tcW w:w="2430" w:type="dxa"/>
            <w:tcBorders>
              <w:top w:val="single" w:sz="4" w:space="0" w:color="auto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382BB0" w:rsidRPr="00D70514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D70514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82BB0" w:rsidRPr="00D70514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D0095" w:rsidRPr="00D70514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8E0FB9" w:rsidRPr="008E0FB9" w:rsidRDefault="00E56F5C" w:rsidP="008E0FB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Поступов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е</w:t>
            </w:r>
            <w:r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8E0FB9"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цифрування </w:t>
            </w:r>
            <w:r w:rsidR="00B35026" w:rsidRPr="005D2E7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процедури</w:t>
            </w:r>
            <w:r w:rsidR="00B35026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="008E0FB9"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державної реєстрації робіт і досліджень, пов’язаних із геологічним вивченням надр, що в свою чергу сприятиме подальшій діджиталізації сфери користування надрами</w:t>
            </w:r>
            <w:r w:rsid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:rsidR="008E0FB9" w:rsidRPr="008E0FB9" w:rsidRDefault="008E0FB9" w:rsidP="008E0FB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Спрощення процедури державної реєстрації та перереєстрації робіт і досліджень, пов’язаних із геологічним вивченням надр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:rsidR="008E0FB9" w:rsidRPr="008E0FB9" w:rsidRDefault="008E0FB9" w:rsidP="008E0FB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Підвищення прозорості та оперативності вирішення завдань у сфері надрокористування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:rsidR="008E0FB9" w:rsidRPr="008E0FB9" w:rsidRDefault="008E0FB9" w:rsidP="008E0FB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:rsidR="008E0FB9" w:rsidRPr="008E0FB9" w:rsidRDefault="008E0FB9" w:rsidP="008E0FB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Збереження об’єктів державного фонду родовищ корисних копалин, що обліковуються державним балансом запасів корисних копалин які є потенційними для їх продажу на аукціоні</w:t>
            </w:r>
            <w:r>
              <w:rPr>
                <w:rFonts w:eastAsia="Times New Roman"/>
                <w:bCs/>
                <w:sz w:val="26"/>
                <w:szCs w:val="26"/>
                <w:lang w:val="uk-UA" w:eastAsia="ru-RU"/>
              </w:rPr>
              <w:t>.</w:t>
            </w:r>
          </w:p>
          <w:p w:rsidR="00952DDF" w:rsidRPr="00D70514" w:rsidRDefault="008E0FB9" w:rsidP="008E0FB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Наближення законодавства України до Європейського рівня.</w:t>
            </w:r>
          </w:p>
          <w:p w:rsidR="00A05264" w:rsidRPr="00D70514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7536B0" w:rsidRPr="00D70514" w:rsidRDefault="007536B0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Спрощення процедури </w:t>
            </w:r>
            <w:r w:rsidR="00E56F5C"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державної реєстрації робіт і досліджень, пов’язаних із геологічним вивченням надр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. </w:t>
            </w:r>
          </w:p>
          <w:p w:rsidR="002F68FB" w:rsidRPr="00D70514" w:rsidRDefault="002F68FB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Забезпечення відкритості та прозорості у сфері надрокористування. </w:t>
            </w:r>
          </w:p>
          <w:p w:rsidR="00ED0095" w:rsidRPr="00D70514" w:rsidRDefault="002F68FB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D70514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C65004" w:rsidRPr="00D70514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:rsidR="00382BB0" w:rsidRPr="00D70514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343894" w:rsidRPr="00D70514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B69DB" w:rsidRPr="00D70514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382BB0" w:rsidRPr="00D70514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56E3E" w:rsidRPr="00D70514" w:rsidTr="00191984">
        <w:tc>
          <w:tcPr>
            <w:tcW w:w="2430" w:type="dxa"/>
            <w:tcBorders>
              <w:bottom w:val="single" w:sz="4" w:space="0" w:color="auto"/>
            </w:tcBorders>
          </w:tcPr>
          <w:p w:rsidR="00856E3E" w:rsidRPr="00D70514" w:rsidRDefault="00856E3E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D70514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609B8" w:rsidRPr="00D70514" w:rsidRDefault="008F16E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D70514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C65004" w:rsidRPr="00D70514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:rsidR="00856E3E" w:rsidRPr="00D70514" w:rsidRDefault="008F16E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D70514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господарювання: </w:t>
            </w:r>
          </w:p>
          <w:p w:rsidR="00BE4353" w:rsidRPr="00D70514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:rsidR="00BE4353" w:rsidRPr="00D70514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D70514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  <w:p w:rsidR="00A05264" w:rsidRPr="00D70514" w:rsidRDefault="00A0526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sz w:val="26"/>
                <w:szCs w:val="26"/>
                <w:lang w:val="uk-UA" w:eastAsia="uk-UA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D70514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Для </w:t>
            </w:r>
            <w:r w:rsidR="00C65004" w:rsidRPr="00D70514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держави:</w:t>
            </w:r>
          </w:p>
          <w:p w:rsidR="00C65004" w:rsidRPr="00D70514" w:rsidRDefault="00C6500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  <w:p w:rsidR="00A93A55" w:rsidRPr="00D70514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D70514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:rsidR="00C65004" w:rsidRPr="00D70514" w:rsidRDefault="0092305C" w:rsidP="00E56F5C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sz w:val="26"/>
                <w:szCs w:val="26"/>
                <w:lang w:val="uk-UA"/>
              </w:rPr>
              <w:t xml:space="preserve">Залишається навантаження на суб’єктів господарювання щодо подання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документів на </w:t>
            </w:r>
            <w:r w:rsidR="00E56F5C"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державн</w:t>
            </w:r>
            <w:r w:rsidR="00E56F5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у</w:t>
            </w:r>
            <w:r w:rsidR="00E56F5C"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реєстраці</w:t>
            </w:r>
            <w:r w:rsidR="00E56F5C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ю</w:t>
            </w:r>
            <w:r w:rsidR="00E56F5C"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робіт і досліджень, пов’язаних із геологічним вивченням надр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E90C0E"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виключно </w:t>
            </w:r>
            <w:r w:rsidRPr="00D70514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 паперовій формі.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6397D" w:rsidRPr="00D70514" w:rsidRDefault="00A72381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</w:t>
            </w:r>
            <w:r w:rsidR="00F111FF"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 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сприятиме досягненню цілей державного регулювання</w:t>
            </w:r>
            <w:r w:rsidR="00F111FF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82BB0" w:rsidRPr="00D70514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4" w:name="_GoBack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bookmarkEnd w:id="4"/>
      <w:tr w:rsidR="00382BB0" w:rsidRPr="00D70514" w:rsidTr="00E13CD6">
        <w:tc>
          <w:tcPr>
            <w:tcW w:w="2430" w:type="dxa"/>
            <w:tcBorders>
              <w:top w:val="single" w:sz="4" w:space="0" w:color="auto"/>
            </w:tcBorders>
          </w:tcPr>
          <w:p w:rsidR="00382BB0" w:rsidRPr="00D70514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382BB0" w:rsidRPr="00D70514" w:rsidRDefault="00382BB0" w:rsidP="00E90C0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EC6739" w:rsidRPr="00D70514" w:rsidRDefault="00382BB0" w:rsidP="00E90C0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382BB0" w:rsidRPr="00D70514" w:rsidTr="00E13CD6">
        <w:tc>
          <w:tcPr>
            <w:tcW w:w="2430" w:type="dxa"/>
          </w:tcPr>
          <w:p w:rsidR="00382BB0" w:rsidRPr="00D70514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D70514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:rsidR="00E90C0E" w:rsidRPr="00D70514" w:rsidRDefault="00F43F36" w:rsidP="00E90C0E">
            <w:pPr>
              <w:widowControl w:val="0"/>
              <w:tabs>
                <w:tab w:val="left" w:pos="-3686"/>
                <w:tab w:val="left" w:pos="990"/>
              </w:tabs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Така альтернатива </w:t>
            </w:r>
            <w:r w:rsidR="00E90C0E"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є неприйнятною оскільки 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не сприятиме досягненн</w:t>
            </w:r>
            <w:r w:rsidR="00E90C0E"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ю цілей державного регулювання щодо поступового цифрування </w:t>
            </w:r>
            <w:r w:rsidR="00B35026" w:rsidRPr="005D2E7C">
              <w:rPr>
                <w:rFonts w:eastAsia="Times New Roman"/>
                <w:sz w:val="26"/>
                <w:szCs w:val="26"/>
                <w:lang w:val="uk-UA" w:eastAsia="ru-RU"/>
              </w:rPr>
              <w:t>процедури</w:t>
            </w:r>
            <w:r w:rsidR="00B35026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r w:rsidR="007E08EA" w:rsidRPr="005D2E7C">
              <w:rPr>
                <w:rFonts w:eastAsia="Times New Roman"/>
                <w:sz w:val="26"/>
                <w:szCs w:val="26"/>
                <w:lang w:val="uk-UA" w:eastAsia="ru-RU"/>
              </w:rPr>
              <w:t>державної реєстрації робіт і досліджень, пов’язаних</w:t>
            </w:r>
            <w:r w:rsidR="007E08EA" w:rsidRPr="008E0FB9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із геологічним вивченням надр</w:t>
            </w:r>
            <w:r w:rsidR="00E90C0E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82BB0" w:rsidRPr="00D70514" w:rsidRDefault="00F43F36" w:rsidP="00E90C0E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Залишаються проблеми</w:t>
            </w:r>
            <w:r w:rsidR="008E1445" w:rsidRPr="00D70514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зазначені у Розділі 1 Аналізу.</w:t>
            </w:r>
          </w:p>
        </w:tc>
        <w:tc>
          <w:tcPr>
            <w:tcW w:w="3982" w:type="dxa"/>
            <w:gridSpan w:val="2"/>
          </w:tcPr>
          <w:p w:rsidR="00382BB0" w:rsidRPr="00D70514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F111FF" w:rsidRPr="00D70514" w:rsidTr="00E13CD6">
        <w:tc>
          <w:tcPr>
            <w:tcW w:w="2430" w:type="dxa"/>
          </w:tcPr>
          <w:p w:rsidR="00F111FF" w:rsidRPr="00D70514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F111FF" w:rsidRPr="00D70514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Така альтернатива досягнення цілей державного регулювання сприятиме відкритості та прозорості сфери надрокористування, наближенню законодавства України до Європейських стандартів та покращенню інвестиційних показників.</w:t>
            </w:r>
            <w:r w:rsidR="007F49C2" w:rsidRPr="00D70514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:rsidR="00F111FF" w:rsidRPr="00D70514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Ризик зовнішніх чинників на дію акта відсутній</w:t>
            </w:r>
            <w:r w:rsidR="008E1445" w:rsidRPr="00D70514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7C30B9" w:rsidRPr="00D70514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DB7AE9" w:rsidRPr="00D70514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D70514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:rsidR="0012534A" w:rsidRPr="00D70514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5" w:name="n79"/>
      <w:bookmarkStart w:id="6" w:name="n80"/>
      <w:bookmarkStart w:id="7" w:name="n81"/>
      <w:bookmarkStart w:id="8" w:name="n83"/>
      <w:bookmarkStart w:id="9" w:name="n89"/>
      <w:bookmarkStart w:id="10" w:name="n90"/>
      <w:bookmarkStart w:id="11" w:name="n91"/>
      <w:bookmarkStart w:id="12" w:name="n92"/>
      <w:bookmarkStart w:id="13" w:name="n93"/>
      <w:bookmarkStart w:id="14" w:name="n94"/>
      <w:bookmarkStart w:id="15" w:name="n95"/>
      <w:bookmarkStart w:id="16" w:name="n97"/>
      <w:bookmarkStart w:id="17" w:name="_Hlk48926220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70514">
        <w:rPr>
          <w:rFonts w:eastAsia="Times New Roman"/>
          <w:sz w:val="26"/>
          <w:szCs w:val="26"/>
          <w:lang w:val="uk-UA" w:eastAsia="ru-RU"/>
        </w:rPr>
        <w:t>Механізмом, який забезпечить розв’язання проблеми є прийняття регуляторного акта, що в свою чергу забезпечить:</w:t>
      </w:r>
    </w:p>
    <w:p w:rsidR="00294CB3" w:rsidRPr="00D70514" w:rsidRDefault="00294CB3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подання надрокористувачем документів </w:t>
      </w:r>
      <w:r w:rsidR="0023635A" w:rsidRPr="00D70514">
        <w:rPr>
          <w:rFonts w:eastAsia="Times New Roman"/>
          <w:sz w:val="26"/>
          <w:szCs w:val="26"/>
          <w:lang w:val="uk-UA" w:eastAsia="ru-RU"/>
        </w:rPr>
        <w:t xml:space="preserve">в електронній формі </w:t>
      </w:r>
      <w:r w:rsidR="007E08EA">
        <w:rPr>
          <w:rFonts w:eastAsia="Times New Roman"/>
          <w:sz w:val="26"/>
          <w:szCs w:val="26"/>
          <w:lang w:val="uk-UA" w:eastAsia="ru-RU"/>
        </w:rPr>
        <w:t xml:space="preserve">для </w:t>
      </w:r>
      <w:r w:rsidR="007E08EA" w:rsidRPr="008E0FB9">
        <w:rPr>
          <w:rFonts w:eastAsia="Times New Roman"/>
          <w:bCs/>
          <w:sz w:val="26"/>
          <w:szCs w:val="26"/>
          <w:lang w:val="uk-UA" w:eastAsia="ru-RU"/>
        </w:rPr>
        <w:t>державної реєстрації робіт і досліджень, пов’язаних із геологічним вивченням надр</w:t>
      </w:r>
      <w:r w:rsidRPr="00D70514">
        <w:rPr>
          <w:rFonts w:eastAsia="Times New Roman"/>
          <w:sz w:val="26"/>
          <w:szCs w:val="26"/>
          <w:lang w:val="uk-UA" w:eastAsia="ru-RU"/>
        </w:rPr>
        <w:t>;</w:t>
      </w:r>
    </w:p>
    <w:p w:rsidR="0012534A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відкритість та прозорість сфери надрокористування;</w:t>
      </w:r>
    </w:p>
    <w:p w:rsidR="007E08EA" w:rsidRPr="00D70514" w:rsidRDefault="007E08E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>з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 xml:space="preserve">береження об’єктів державного фонду родовищ корисних копалин, що обліковуються державним балансом запасів корисних копалин </w:t>
      </w:r>
      <w:r>
        <w:rPr>
          <w:rFonts w:eastAsia="Times New Roman"/>
          <w:bCs/>
          <w:sz w:val="26"/>
          <w:szCs w:val="26"/>
          <w:lang w:val="uk-UA" w:eastAsia="ru-RU"/>
        </w:rPr>
        <w:t>які є</w:t>
      </w:r>
      <w:r w:rsidRPr="00DC6DE6">
        <w:rPr>
          <w:rFonts w:eastAsia="Times New Roman"/>
          <w:bCs/>
          <w:sz w:val="26"/>
          <w:szCs w:val="26"/>
          <w:lang w:val="uk-UA" w:eastAsia="ru-RU"/>
        </w:rPr>
        <w:t xml:space="preserve"> потенційними для їх продажу на аукціоні</w:t>
      </w:r>
      <w:r>
        <w:rPr>
          <w:rFonts w:eastAsia="Times New Roman"/>
          <w:bCs/>
          <w:sz w:val="26"/>
          <w:szCs w:val="26"/>
          <w:lang w:val="uk-UA" w:eastAsia="ru-RU"/>
        </w:rPr>
        <w:t>;</w:t>
      </w:r>
    </w:p>
    <w:p w:rsidR="0012534A" w:rsidRPr="00D70514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конкурентність у сфері </w:t>
      </w:r>
      <w:r w:rsidR="00807627" w:rsidRPr="00D70514">
        <w:rPr>
          <w:rFonts w:eastAsia="Times New Roman"/>
          <w:sz w:val="26"/>
          <w:szCs w:val="26"/>
          <w:lang w:val="uk-UA" w:eastAsia="ru-RU"/>
        </w:rPr>
        <w:t>надрокористування.</w:t>
      </w:r>
    </w:p>
    <w:p w:rsidR="00AA042E" w:rsidRPr="00D70514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D70514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4F6E75" w:rsidRPr="00D70514" w:rsidRDefault="006E1B30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Для впровадження цього регуляторного акта необхідно забезпечити погодження регуляторного акта із заінтересованими органами, подання на державну реєстрацію до Міністерства юстиції, інформування надрокористувачів про вимоги регуляторного акта шляхом його оприлюднення у засобах масової інформації та публікації в Офіційному віснику України.</w:t>
      </w:r>
    </w:p>
    <w:p w:rsidR="00AA042E" w:rsidRPr="00D70514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D70514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D70514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D70514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:rsidR="00AA042E" w:rsidRPr="00D70514" w:rsidRDefault="00AA042E" w:rsidP="00591058">
      <w:pPr>
        <w:widowControl w:val="0"/>
        <w:numPr>
          <w:ilvl w:val="0"/>
          <w:numId w:val="14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D70514">
        <w:rPr>
          <w:rFonts w:eastAsia="Times New Roman"/>
          <w:sz w:val="26"/>
          <w:szCs w:val="26"/>
          <w:lang w:val="uk-UA" w:eastAsia="ru-RU"/>
        </w:rPr>
        <w:t>торного акт</w:t>
      </w:r>
      <w:r w:rsidR="00807627" w:rsidRPr="00D70514">
        <w:rPr>
          <w:rFonts w:eastAsia="Times New Roman"/>
          <w:sz w:val="26"/>
          <w:szCs w:val="26"/>
          <w:lang w:val="uk-UA" w:eastAsia="ru-RU"/>
        </w:rPr>
        <w:t>а</w:t>
      </w:r>
      <w:r w:rsidR="009B754C" w:rsidRPr="00D70514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bookmarkEnd w:id="17"/>
    <w:p w:rsidR="00C240C3" w:rsidRPr="00D70514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29598B" w:rsidRPr="00D70514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29598B" w:rsidRPr="00D70514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29598B" w:rsidRPr="00D70514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8" w:name="_Hlk496274919"/>
      <w:r w:rsidRPr="00D70514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D70514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18"/>
      <w:r w:rsidR="0029598B" w:rsidRPr="00D70514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D70514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906511" w:rsidRPr="00D70514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D70514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173C9A" w:rsidRPr="00D70514" w:rsidRDefault="00173C9A" w:rsidP="00DC042B">
      <w:pPr>
        <w:widowControl w:val="0"/>
        <w:tabs>
          <w:tab w:val="left" w:pos="-3686"/>
          <w:tab w:val="left" w:pos="990"/>
        </w:tabs>
        <w:ind w:left="270" w:firstLine="770"/>
        <w:jc w:val="both"/>
        <w:rPr>
          <w:rFonts w:eastAsia="Times New Roman"/>
          <w:sz w:val="16"/>
          <w:szCs w:val="16"/>
          <w:lang w:val="uk-UA" w:eastAsia="ru-RU"/>
        </w:rPr>
      </w:pPr>
    </w:p>
    <w:p w:rsidR="00C240C3" w:rsidRPr="00D70514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r w:rsidR="00E441A2" w:rsidRPr="00D70514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>кта</w:t>
      </w:r>
    </w:p>
    <w:p w:rsidR="00900594" w:rsidRPr="00D70514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D70514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Строк дії цього регуляторного акта встановлюється на необмежений строк з моменту набрання чинності, оскільки необхідність виконання положень регуляторного акта є постійною.</w:t>
      </w:r>
    </w:p>
    <w:p w:rsidR="000C6772" w:rsidRPr="00D70514" w:rsidRDefault="000C6772" w:rsidP="00FA7487">
      <w:pPr>
        <w:ind w:right="-1" w:firstLine="709"/>
        <w:jc w:val="both"/>
        <w:rPr>
          <w:rFonts w:eastAsia="Calibri"/>
          <w:color w:val="000000"/>
          <w:sz w:val="16"/>
          <w:szCs w:val="16"/>
          <w:shd w:val="clear" w:color="auto" w:fill="FFFFFF"/>
          <w:lang w:val="uk-UA" w:eastAsia="en-US"/>
        </w:rPr>
      </w:pPr>
    </w:p>
    <w:p w:rsidR="00C240C3" w:rsidRPr="00D70514" w:rsidRDefault="00D22AAA" w:rsidP="00DC042B">
      <w:pPr>
        <w:widowControl w:val="0"/>
        <w:tabs>
          <w:tab w:val="left" w:pos="990"/>
        </w:tabs>
        <w:spacing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VIII. 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>Визначення показників результативності дії регуляторного акта</w:t>
      </w:r>
    </w:p>
    <w:p w:rsidR="008E6A2A" w:rsidRPr="00D70514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Прогнозними значеннями показників результативності регуляторного акта є:</w:t>
      </w:r>
    </w:p>
    <w:p w:rsidR="008E6A2A" w:rsidRPr="00D70514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пов’язаних із дією акта  –</w:t>
      </w:r>
      <w:r w:rsidR="00946EC0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D70514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D70514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D70514">
        <w:rPr>
          <w:rFonts w:eastAsia="Times New Roman"/>
          <w:sz w:val="26"/>
          <w:szCs w:val="26"/>
          <w:lang w:val="uk-UA" w:eastAsia="ru-RU"/>
        </w:rPr>
        <w:t>.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774B4D" w:rsidRPr="00D70514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D70514">
        <w:rPr>
          <w:rFonts w:eastAsia="Times New Roman"/>
          <w:sz w:val="26"/>
          <w:szCs w:val="26"/>
          <w:lang w:val="uk-UA" w:eastAsia="ru-RU"/>
        </w:rPr>
        <w:t>:</w:t>
      </w:r>
    </w:p>
    <w:p w:rsidR="00AF1582" w:rsidRPr="00D70514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D70514">
        <w:rPr>
          <w:rFonts w:eastAsia="Times New Roman"/>
          <w:sz w:val="26"/>
          <w:szCs w:val="26"/>
          <w:lang w:val="uk-UA" w:eastAsia="ru-RU"/>
        </w:rPr>
        <w:t>526</w:t>
      </w:r>
      <w:r w:rsidRPr="00D70514">
        <w:rPr>
          <w:rFonts w:eastAsia="Times New Roman"/>
          <w:sz w:val="26"/>
          <w:szCs w:val="26"/>
          <w:lang w:val="uk-UA" w:eastAsia="ru-RU"/>
        </w:rPr>
        <w:t>;</w:t>
      </w:r>
    </w:p>
    <w:p w:rsidR="00774B4D" w:rsidRPr="00D70514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D70514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D70514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3. Розмір коштів і час, які витрачаються суб’єктами господарювання у зв’язку із виконанням вимог акта –</w:t>
      </w:r>
      <w:r w:rsidR="009442DF" w:rsidRPr="00D70514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D70514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4.</w:t>
      </w:r>
      <w:r w:rsidR="00D22AAA" w:rsidRPr="00D70514">
        <w:rPr>
          <w:rFonts w:eastAsia="Times New Roman"/>
          <w:sz w:val="26"/>
          <w:szCs w:val="26"/>
          <w:lang w:val="uk-UA" w:eastAsia="ru-RU"/>
        </w:rPr>
        <w:t> 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D70514">
        <w:rPr>
          <w:rFonts w:eastAsia="Times New Roman"/>
          <w:sz w:val="26"/>
          <w:szCs w:val="26"/>
          <w:lang w:val="uk-UA" w:eastAsia="ru-RU"/>
        </w:rPr>
        <w:t>коштів</w:t>
      </w:r>
      <w:r w:rsidRPr="00D70514">
        <w:rPr>
          <w:rFonts w:eastAsia="Times New Roman"/>
          <w:sz w:val="26"/>
          <w:szCs w:val="26"/>
          <w:lang w:val="uk-UA" w:eastAsia="ru-RU"/>
        </w:rPr>
        <w:t>,</w:t>
      </w:r>
      <w:r w:rsidR="00B162CE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D70514">
        <w:rPr>
          <w:rFonts w:eastAsia="Times New Roman"/>
          <w:sz w:val="26"/>
          <w:szCs w:val="26"/>
          <w:lang w:val="uk-UA" w:eastAsia="ru-RU"/>
        </w:rPr>
        <w:t>тимуться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D70514">
        <w:rPr>
          <w:rFonts w:eastAsia="Times New Roman"/>
          <w:sz w:val="26"/>
          <w:szCs w:val="26"/>
          <w:lang w:val="uk-UA" w:eastAsia="ru-RU"/>
        </w:rPr>
        <w:t>ом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sz w:val="26"/>
          <w:szCs w:val="26"/>
          <w:lang w:val="uk-UA" w:eastAsia="ru-RU"/>
        </w:rPr>
        <w:t>у зв’язку із виконанням вимог акта</w:t>
      </w:r>
      <w:r w:rsidR="00774B4D" w:rsidRPr="00D70514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D70514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D70514">
        <w:rPr>
          <w:rFonts w:eastAsia="Times New Roman"/>
          <w:sz w:val="26"/>
          <w:szCs w:val="26"/>
          <w:lang w:val="uk-UA" w:eastAsia="ru-RU"/>
        </w:rPr>
        <w:t>:</w:t>
      </w:r>
      <w:r w:rsidR="009E48F1" w:rsidRPr="00D70514">
        <w:rPr>
          <w:sz w:val="26"/>
          <w:szCs w:val="26"/>
          <w:lang w:val="uk-UA"/>
        </w:rPr>
        <w:t xml:space="preserve"> </w:t>
      </w:r>
      <w:r w:rsidR="000D06C5" w:rsidRPr="00D70514">
        <w:rPr>
          <w:rFonts w:eastAsia="Times New Roman"/>
          <w:sz w:val="26"/>
          <w:szCs w:val="26"/>
          <w:lang w:val="uk-UA" w:eastAsia="ru-RU"/>
        </w:rPr>
        <w:t>19,</w:t>
      </w:r>
      <w:r w:rsidR="0078371A" w:rsidRPr="00D70514">
        <w:rPr>
          <w:rFonts w:eastAsia="Times New Roman"/>
          <w:sz w:val="26"/>
          <w:szCs w:val="26"/>
          <w:lang w:val="uk-UA" w:eastAsia="ru-RU"/>
        </w:rPr>
        <w:t>63</w:t>
      </w:r>
      <w:r w:rsidR="000D06C5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="009442DF" w:rsidRPr="00D70514">
        <w:rPr>
          <w:rFonts w:eastAsia="Times New Roman"/>
          <w:sz w:val="26"/>
          <w:szCs w:val="26"/>
          <w:lang w:val="uk-UA" w:eastAsia="ru-RU"/>
        </w:rPr>
        <w:t>грн</w:t>
      </w:r>
      <w:r w:rsidR="009E48F1"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9E48F1" w:rsidRPr="00D70514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D70514">
        <w:rPr>
          <w:rFonts w:eastAsia="Times New Roman"/>
          <w:sz w:val="26"/>
          <w:szCs w:val="26"/>
          <w:lang w:val="uk-UA" w:eastAsia="ru-RU"/>
        </w:rPr>
        <w:t xml:space="preserve">               </w:t>
      </w:r>
      <w:r w:rsidR="000D06C5" w:rsidRPr="00D70514">
        <w:rPr>
          <w:rFonts w:eastAsia="Times New Roman"/>
          <w:sz w:val="26"/>
          <w:szCs w:val="26"/>
          <w:lang w:val="uk-UA" w:eastAsia="ru-RU"/>
        </w:rPr>
        <w:t>19,</w:t>
      </w:r>
      <w:r w:rsidR="0078371A" w:rsidRPr="00D70514">
        <w:rPr>
          <w:rFonts w:eastAsia="Times New Roman"/>
          <w:sz w:val="26"/>
          <w:szCs w:val="26"/>
          <w:lang w:val="uk-UA" w:eastAsia="ru-RU"/>
        </w:rPr>
        <w:t>63</w:t>
      </w:r>
      <w:r w:rsidR="000D06C5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Pr="00D70514">
        <w:rPr>
          <w:rFonts w:eastAsia="Times New Roman"/>
          <w:sz w:val="26"/>
          <w:szCs w:val="26"/>
          <w:lang w:val="uk-UA" w:eastAsia="ru-RU"/>
        </w:rPr>
        <w:t>грн.</w:t>
      </w:r>
    </w:p>
    <w:p w:rsidR="009E48F1" w:rsidRPr="00D70514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D70514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D70514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D70514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D70514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D70514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із виконанням вимог акта</w:t>
      </w:r>
      <w:r w:rsidR="009E48F1" w:rsidRPr="00D70514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D70514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D70514">
        <w:rPr>
          <w:rFonts w:eastAsia="Times New Roman"/>
          <w:bCs/>
          <w:sz w:val="26"/>
          <w:szCs w:val="26"/>
          <w:lang w:val="uk-UA" w:eastAsia="ru-RU"/>
        </w:rPr>
        <w:t>0,5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:rsidR="008E5EEB" w:rsidRPr="00D70514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D70514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:rsidR="008E5EEB" w:rsidRPr="00D70514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D70514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Проє</w:t>
      </w:r>
      <w:r w:rsidRPr="00D70514">
        <w:rPr>
          <w:rFonts w:eastAsia="Times New Roman"/>
          <w:sz w:val="26"/>
          <w:szCs w:val="26"/>
          <w:lang w:val="uk-UA" w:eastAsia="ru-RU"/>
        </w:rPr>
        <w:t>кт акта та відповідний аналіз регуляторного вплив</w:t>
      </w:r>
      <w:r w:rsidR="00266F6D" w:rsidRPr="00D70514">
        <w:rPr>
          <w:rFonts w:eastAsia="Times New Roman"/>
          <w:sz w:val="26"/>
          <w:szCs w:val="26"/>
          <w:lang w:val="uk-UA" w:eastAsia="ru-RU"/>
        </w:rPr>
        <w:t>у оприлюднено на офіційному веб</w:t>
      </w:r>
      <w:r w:rsidRPr="00D70514">
        <w:rPr>
          <w:rFonts w:eastAsia="Times New Roman"/>
          <w:sz w:val="26"/>
          <w:szCs w:val="26"/>
          <w:lang w:val="uk-UA" w:eastAsia="ru-RU"/>
        </w:rPr>
        <w:t xml:space="preserve">сайті </w:t>
      </w:r>
      <w:bookmarkStart w:id="19" w:name="_Hlk23429338"/>
      <w:r w:rsidR="0049726C" w:rsidRPr="00D70514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D70514">
        <w:rPr>
          <w:rFonts w:eastAsia="Times New Roman"/>
          <w:sz w:val="26"/>
          <w:szCs w:val="26"/>
          <w:lang w:val="uk-UA" w:eastAsia="ru-RU"/>
        </w:rPr>
        <w:t>України</w:t>
      </w:r>
      <w:bookmarkEnd w:id="19"/>
      <w:r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BF40EC" w:rsidRPr="00D70514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акта він буде опублікований </w:t>
      </w:r>
      <w:r w:rsidR="004F6E75" w:rsidRPr="00D70514">
        <w:rPr>
          <w:rFonts w:eastAsia="Times New Roman"/>
          <w:sz w:val="26"/>
          <w:szCs w:val="26"/>
          <w:lang w:val="uk-UA" w:eastAsia="ru-RU"/>
        </w:rPr>
        <w:t>у Офіційному віснику України</w:t>
      </w:r>
      <w:r w:rsidR="0018661C" w:rsidRPr="00D70514">
        <w:rPr>
          <w:rFonts w:eastAsia="Times New Roman"/>
          <w:sz w:val="26"/>
          <w:szCs w:val="26"/>
          <w:lang w:val="uk-UA" w:eastAsia="ru-RU"/>
        </w:rPr>
        <w:t>.</w:t>
      </w:r>
    </w:p>
    <w:p w:rsidR="0023635A" w:rsidRPr="00D70514" w:rsidRDefault="0023635A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8E5EEB" w:rsidRPr="00D70514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D70514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акта, виходячи з його цілей, слугуватимуть: </w:t>
      </w:r>
    </w:p>
    <w:p w:rsidR="00BF40EC" w:rsidRDefault="004D3CCA" w:rsidP="00CF4F70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sz w:val="26"/>
          <w:szCs w:val="26"/>
          <w:lang w:val="uk-UA" w:eastAsia="ru-RU"/>
        </w:rPr>
        <w:t xml:space="preserve">Кількість </w:t>
      </w:r>
      <w:r w:rsidR="00FA7CF7" w:rsidRPr="00D70514">
        <w:rPr>
          <w:rFonts w:eastAsia="Times New Roman"/>
          <w:bCs/>
          <w:sz w:val="26"/>
          <w:szCs w:val="26"/>
          <w:lang w:val="uk-UA" w:eastAsia="ru-RU"/>
        </w:rPr>
        <w:t xml:space="preserve">поданих </w:t>
      </w:r>
      <w:r w:rsidR="00DA06C3" w:rsidRPr="00D70514">
        <w:rPr>
          <w:rFonts w:eastAsia="Times New Roman"/>
          <w:sz w:val="26"/>
          <w:szCs w:val="26"/>
          <w:lang w:val="uk-UA" w:eastAsia="ru-RU"/>
        </w:rPr>
        <w:t>заяв</w:t>
      </w:r>
      <w:r w:rsidR="00DA06C3">
        <w:rPr>
          <w:rFonts w:eastAsia="Times New Roman"/>
          <w:sz w:val="26"/>
          <w:szCs w:val="26"/>
          <w:lang w:val="uk-UA" w:eastAsia="ru-RU"/>
        </w:rPr>
        <w:t xml:space="preserve"> та документів для</w:t>
      </w:r>
      <w:r w:rsidR="00DA06C3" w:rsidRPr="00D70514">
        <w:rPr>
          <w:rFonts w:eastAsia="Times New Roman"/>
          <w:sz w:val="26"/>
          <w:szCs w:val="26"/>
          <w:lang w:val="uk-UA" w:eastAsia="ru-RU"/>
        </w:rPr>
        <w:t xml:space="preserve"> </w:t>
      </w:r>
      <w:r w:rsidR="00DA06C3">
        <w:rPr>
          <w:rFonts w:eastAsia="Times New Roman"/>
          <w:sz w:val="26"/>
          <w:szCs w:val="26"/>
          <w:lang w:val="uk-UA" w:eastAsia="ru-RU"/>
        </w:rPr>
        <w:t xml:space="preserve">здійснення </w:t>
      </w:r>
      <w:r w:rsidR="00DA06C3" w:rsidRPr="00DC6DE6">
        <w:rPr>
          <w:rFonts w:eastAsia="Times New Roman"/>
          <w:bCs/>
          <w:sz w:val="26"/>
          <w:szCs w:val="26"/>
          <w:lang w:val="uk-UA" w:eastAsia="ru-RU"/>
        </w:rPr>
        <w:t>державної реєстрації робіт і досліджень, пов’язаних із геологічним вивченням надр</w:t>
      </w:r>
      <w:r w:rsidR="00DA06C3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CF4F70">
        <w:rPr>
          <w:rFonts w:eastAsia="Times New Roman"/>
          <w:bCs/>
          <w:sz w:val="26"/>
          <w:szCs w:val="26"/>
          <w:lang w:val="uk-UA" w:eastAsia="ru-RU"/>
        </w:rPr>
        <w:t xml:space="preserve">через </w:t>
      </w:r>
      <w:r w:rsidR="0036088D" w:rsidRPr="005D2E7C">
        <w:rPr>
          <w:rFonts w:eastAsia="Times New Roman"/>
          <w:bCs/>
          <w:sz w:val="26"/>
          <w:szCs w:val="26"/>
          <w:lang w:val="uk-UA" w:eastAsia="ru-RU"/>
        </w:rPr>
        <w:t>офіційну</w:t>
      </w:r>
      <w:r w:rsidR="0036088D">
        <w:rPr>
          <w:rFonts w:eastAsia="Times New Roman"/>
          <w:bCs/>
          <w:sz w:val="26"/>
          <w:szCs w:val="26"/>
          <w:lang w:val="uk-UA" w:eastAsia="ru-RU"/>
        </w:rPr>
        <w:t xml:space="preserve"> </w:t>
      </w:r>
      <w:r w:rsidR="00CF4F70" w:rsidRPr="00CF4F70">
        <w:rPr>
          <w:rFonts w:eastAsia="Times New Roman"/>
          <w:bCs/>
          <w:sz w:val="26"/>
          <w:szCs w:val="26"/>
          <w:lang w:val="uk-UA" w:eastAsia="ru-RU"/>
        </w:rPr>
        <w:t>електронну адресу Держгеонадр</w:t>
      </w:r>
      <w:r w:rsidRPr="00D70514"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36088D" w:rsidRPr="00E214EE" w:rsidRDefault="0036088D" w:rsidP="0036088D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E214EE">
        <w:rPr>
          <w:rFonts w:eastAsia="Times New Roman"/>
          <w:bCs/>
          <w:sz w:val="26"/>
          <w:szCs w:val="26"/>
          <w:lang w:val="uk-UA" w:eastAsia="ru-RU"/>
        </w:rPr>
        <w:t>Кількість поданих заяв та документів для здійснення державної реєстрації робіт і досліджень, пов’язаних із геологічним вивченням надр через електронний кабінет надрокористувача.</w:t>
      </w:r>
    </w:p>
    <w:p w:rsidR="00BD0FB6" w:rsidRPr="00D70514" w:rsidRDefault="00E82489" w:rsidP="00265F0F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D70514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A2599E">
        <w:rPr>
          <w:rFonts w:eastAsia="Times New Roman"/>
          <w:bCs/>
          <w:sz w:val="26"/>
          <w:szCs w:val="26"/>
          <w:lang w:val="uk-UA" w:eastAsia="ru-RU"/>
        </w:rPr>
        <w:t xml:space="preserve">зареєстрованих форм </w:t>
      </w:r>
      <w:r w:rsidR="00FA7CF7">
        <w:rPr>
          <w:rFonts w:eastAsia="Times New Roman"/>
          <w:bCs/>
          <w:sz w:val="26"/>
          <w:szCs w:val="26"/>
          <w:lang w:val="uk-UA" w:eastAsia="ru-RU"/>
        </w:rPr>
        <w:t>№ </w:t>
      </w:r>
      <w:r w:rsidR="00A2599E">
        <w:rPr>
          <w:rFonts w:eastAsia="Times New Roman"/>
          <w:bCs/>
          <w:sz w:val="26"/>
          <w:szCs w:val="26"/>
          <w:lang w:val="uk-UA" w:eastAsia="ru-RU"/>
        </w:rPr>
        <w:t>3-гр</w:t>
      </w:r>
      <w:r w:rsidR="00BD0FB6" w:rsidRPr="00D70514"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E82489" w:rsidRPr="00D70514" w:rsidRDefault="00E82489" w:rsidP="00DC042B">
      <w:pPr>
        <w:widowControl w:val="0"/>
        <w:tabs>
          <w:tab w:val="left" w:pos="990"/>
        </w:tabs>
        <w:ind w:firstLine="709"/>
        <w:jc w:val="center"/>
        <w:rPr>
          <w:rFonts w:eastAsia="Times New Roman"/>
          <w:bCs/>
          <w:sz w:val="16"/>
          <w:szCs w:val="16"/>
          <w:lang w:val="uk-UA" w:eastAsia="ru-RU"/>
        </w:rPr>
      </w:pPr>
    </w:p>
    <w:p w:rsidR="00C240C3" w:rsidRPr="00D70514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D70514">
        <w:rPr>
          <w:rFonts w:eastAsia="Times New Roman"/>
          <w:b/>
          <w:sz w:val="26"/>
          <w:szCs w:val="26"/>
          <w:lang w:val="uk-UA" w:eastAsia="ru-RU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6B5DFA" w:rsidRPr="00D70514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Відстеження результативності регуляторного акта здійснюватиметься</w:t>
      </w:r>
      <w:r w:rsidR="00F2278F" w:rsidRPr="00D70514">
        <w:rPr>
          <w:sz w:val="26"/>
          <w:szCs w:val="26"/>
          <w:lang w:val="uk-UA"/>
        </w:rPr>
        <w:t xml:space="preserve"> шляхом проведення базового, </w:t>
      </w:r>
      <w:r w:rsidRPr="00D70514">
        <w:rPr>
          <w:sz w:val="26"/>
          <w:szCs w:val="26"/>
          <w:lang w:val="uk-UA"/>
        </w:rPr>
        <w:t xml:space="preserve">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:rsidR="006B5DFA" w:rsidRPr="00D70514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Базове відстеження результативності цього регуляторного акта здійснюватиметься після набрання ним чинності, оскільки для цього використовуватимуться</w:t>
      </w:r>
      <w:r w:rsidR="00F154F3" w:rsidRPr="00D70514">
        <w:rPr>
          <w:sz w:val="26"/>
          <w:szCs w:val="26"/>
          <w:lang w:val="uk-UA"/>
        </w:rPr>
        <w:t xml:space="preserve"> виключно статистичні показники, але не пізніше дня, з якого починається проведення повторного відстеження результативності цього акта.</w:t>
      </w:r>
      <w:r w:rsidRPr="00D70514">
        <w:rPr>
          <w:sz w:val="26"/>
          <w:szCs w:val="26"/>
          <w:lang w:val="uk-UA"/>
        </w:rPr>
        <w:t xml:space="preserve"> </w:t>
      </w:r>
    </w:p>
    <w:p w:rsidR="006B5DFA" w:rsidRPr="00D70514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 xml:space="preserve">Повторне відстеження результативності </w:t>
      </w:r>
      <w:r w:rsidR="00E860B0" w:rsidRPr="00D70514">
        <w:rPr>
          <w:sz w:val="26"/>
          <w:szCs w:val="26"/>
          <w:lang w:val="uk-UA"/>
        </w:rPr>
        <w:t xml:space="preserve">цього </w:t>
      </w:r>
      <w:r w:rsidRPr="00D70514">
        <w:rPr>
          <w:sz w:val="26"/>
          <w:szCs w:val="26"/>
          <w:lang w:val="uk-UA"/>
        </w:rPr>
        <w:t xml:space="preserve">регуляторного акта здійснюватиметься через </w:t>
      </w:r>
      <w:r w:rsidR="00F2278F" w:rsidRPr="00D70514">
        <w:rPr>
          <w:sz w:val="26"/>
          <w:szCs w:val="26"/>
          <w:lang w:val="uk-UA"/>
        </w:rPr>
        <w:t>рік</w:t>
      </w:r>
      <w:r w:rsidRPr="00D70514">
        <w:rPr>
          <w:sz w:val="26"/>
          <w:szCs w:val="26"/>
          <w:lang w:val="uk-UA"/>
        </w:rPr>
        <w:t xml:space="preserve"> з дня набрання </w:t>
      </w:r>
      <w:r w:rsidR="00132E78" w:rsidRPr="00D70514">
        <w:rPr>
          <w:sz w:val="26"/>
          <w:szCs w:val="26"/>
          <w:lang w:val="uk-UA"/>
        </w:rPr>
        <w:t>чинності цим регуляторним актом, але не пізніше двох років з дня набрання чинності цим актом.</w:t>
      </w:r>
      <w:r w:rsidRPr="00D70514">
        <w:rPr>
          <w:sz w:val="26"/>
          <w:szCs w:val="26"/>
          <w:lang w:val="uk-UA"/>
        </w:rPr>
        <w:t xml:space="preserve"> За результатами даного відстеження відбудеться порівняння показників базового та повторного відстеження.</w:t>
      </w:r>
    </w:p>
    <w:p w:rsidR="006B5DFA" w:rsidRPr="00D70514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 xml:space="preserve">Періодичне відстеження результативності </w:t>
      </w:r>
      <w:r w:rsidR="00E860B0" w:rsidRPr="00D70514">
        <w:rPr>
          <w:sz w:val="26"/>
          <w:szCs w:val="26"/>
          <w:lang w:val="uk-UA"/>
        </w:rPr>
        <w:t xml:space="preserve">цього регуляторного акта </w:t>
      </w:r>
      <w:r w:rsidRPr="00D70514">
        <w:rPr>
          <w:sz w:val="26"/>
          <w:szCs w:val="26"/>
          <w:lang w:val="uk-UA"/>
        </w:rPr>
        <w:t>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6B5DFA" w:rsidRPr="00D70514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643FBD" w:rsidRPr="00D70514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D70514">
        <w:rPr>
          <w:sz w:val="26"/>
          <w:szCs w:val="26"/>
          <w:lang w:val="uk-UA"/>
        </w:rPr>
        <w:t>Відстеження результативності регуляторного акта буде здійснювати</w:t>
      </w:r>
      <w:r w:rsidR="003E71BC" w:rsidRPr="00D70514">
        <w:rPr>
          <w:sz w:val="26"/>
          <w:szCs w:val="26"/>
          <w:lang w:val="uk-UA"/>
        </w:rPr>
        <w:t>сь</w:t>
      </w:r>
      <w:r w:rsidRPr="00D70514">
        <w:rPr>
          <w:sz w:val="26"/>
          <w:szCs w:val="26"/>
          <w:lang w:val="uk-UA"/>
        </w:rPr>
        <w:t xml:space="preserve"> Державн</w:t>
      </w:r>
      <w:r w:rsidR="009E3A8D" w:rsidRPr="00D70514">
        <w:rPr>
          <w:sz w:val="26"/>
          <w:szCs w:val="26"/>
          <w:lang w:val="uk-UA"/>
        </w:rPr>
        <w:t>ою</w:t>
      </w:r>
      <w:r w:rsidR="00132E78" w:rsidRPr="00D70514">
        <w:rPr>
          <w:sz w:val="26"/>
          <w:szCs w:val="26"/>
          <w:lang w:val="uk-UA"/>
        </w:rPr>
        <w:t xml:space="preserve"> </w:t>
      </w:r>
      <w:r w:rsidRPr="00D70514">
        <w:rPr>
          <w:sz w:val="26"/>
          <w:szCs w:val="26"/>
          <w:lang w:val="uk-UA"/>
        </w:rPr>
        <w:t>служб</w:t>
      </w:r>
      <w:r w:rsidR="009E3A8D" w:rsidRPr="00D70514">
        <w:rPr>
          <w:sz w:val="26"/>
          <w:szCs w:val="26"/>
          <w:lang w:val="uk-UA"/>
        </w:rPr>
        <w:t>ою</w:t>
      </w:r>
      <w:r w:rsidRPr="00D70514">
        <w:rPr>
          <w:sz w:val="26"/>
          <w:szCs w:val="26"/>
          <w:lang w:val="uk-UA"/>
        </w:rPr>
        <w:t xml:space="preserve"> геології та надр У</w:t>
      </w:r>
      <w:r w:rsidR="00307AE7" w:rsidRPr="00D70514">
        <w:rPr>
          <w:sz w:val="26"/>
          <w:szCs w:val="26"/>
          <w:lang w:val="uk-UA"/>
        </w:rPr>
        <w:t>к</w:t>
      </w:r>
      <w:r w:rsidRPr="00D70514">
        <w:rPr>
          <w:sz w:val="26"/>
          <w:szCs w:val="26"/>
          <w:lang w:val="uk-UA"/>
        </w:rPr>
        <w:t>раїни шляхом розгляду пропозицій та зауважень, які надійдуть до нього.</w:t>
      </w:r>
    </w:p>
    <w:p w:rsidR="00441164" w:rsidRPr="00D70514" w:rsidRDefault="00441164" w:rsidP="00FA7487">
      <w:pPr>
        <w:widowControl w:val="0"/>
        <w:tabs>
          <w:tab w:val="left" w:pos="990"/>
        </w:tabs>
        <w:ind w:left="270" w:firstLine="720"/>
        <w:jc w:val="both"/>
        <w:rPr>
          <w:sz w:val="22"/>
          <w:szCs w:val="22"/>
          <w:lang w:val="uk-UA"/>
        </w:rPr>
      </w:pPr>
    </w:p>
    <w:p w:rsidR="00E12DE1" w:rsidRPr="00D70514" w:rsidRDefault="00E12DE1" w:rsidP="00FA7487">
      <w:pPr>
        <w:widowControl w:val="0"/>
        <w:tabs>
          <w:tab w:val="left" w:pos="990"/>
        </w:tabs>
        <w:ind w:left="270" w:firstLine="720"/>
        <w:jc w:val="both"/>
        <w:rPr>
          <w:sz w:val="22"/>
          <w:szCs w:val="22"/>
          <w:lang w:val="uk-UA"/>
        </w:rPr>
      </w:pPr>
    </w:p>
    <w:p w:rsidR="00EB625E" w:rsidRPr="00D70514" w:rsidRDefault="00EB625E" w:rsidP="00EB625E">
      <w:pPr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 xml:space="preserve">Голова Державної служби </w:t>
      </w:r>
    </w:p>
    <w:p w:rsidR="007E5048" w:rsidRPr="00132E78" w:rsidRDefault="00EB625E" w:rsidP="00EB625E">
      <w:pPr>
        <w:rPr>
          <w:rFonts w:eastAsia="Times New Roman"/>
          <w:b/>
          <w:sz w:val="26"/>
          <w:szCs w:val="26"/>
          <w:lang w:val="uk-UA" w:eastAsia="ru-RU"/>
        </w:rPr>
      </w:pPr>
      <w:r w:rsidRPr="00D70514">
        <w:rPr>
          <w:rFonts w:eastAsia="Times New Roman"/>
          <w:b/>
          <w:sz w:val="26"/>
          <w:szCs w:val="26"/>
          <w:lang w:val="uk-UA" w:eastAsia="ru-RU"/>
        </w:rPr>
        <w:t>геології та надр України                                                                        Роман ОПІМАХ</w:t>
      </w:r>
    </w:p>
    <w:sectPr w:rsidR="007E5048" w:rsidRPr="00132E78" w:rsidSect="00ED3D6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49" w:rsidRDefault="00484249">
      <w:r>
        <w:separator/>
      </w:r>
    </w:p>
  </w:endnote>
  <w:endnote w:type="continuationSeparator" w:id="0">
    <w:p w:rsidR="00484249" w:rsidRDefault="0048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49" w:rsidRDefault="00484249">
      <w:r>
        <w:separator/>
      </w:r>
    </w:p>
  </w:footnote>
  <w:footnote w:type="continuationSeparator" w:id="0">
    <w:p w:rsidR="00484249" w:rsidRDefault="0048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Default="00CF283A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09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609B8">
      <w:rPr>
        <w:rStyle w:val="ab"/>
        <w:noProof/>
      </w:rPr>
      <w:t>2</w:t>
    </w:r>
    <w:r>
      <w:rPr>
        <w:rStyle w:val="ab"/>
      </w:rPr>
      <w:fldChar w:fldCharType="end"/>
    </w:r>
  </w:p>
  <w:p w:rsidR="001609B8" w:rsidRDefault="001609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Pr="004210EE" w:rsidRDefault="00CF283A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="001609B8"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E214EE">
      <w:rPr>
        <w:rStyle w:val="ab"/>
        <w:noProof/>
      </w:rPr>
      <w:t>16</w:t>
    </w:r>
    <w:r w:rsidRPr="004210EE">
      <w:rPr>
        <w:rStyle w:val="ab"/>
      </w:rPr>
      <w:fldChar w:fldCharType="end"/>
    </w:r>
  </w:p>
  <w:p w:rsidR="001609B8" w:rsidRPr="00A739E9" w:rsidRDefault="001609B8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11"/>
  </w:num>
  <w:num w:numId="5">
    <w:abstractNumId w:val="32"/>
  </w:num>
  <w:num w:numId="6">
    <w:abstractNumId w:val="30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1"/>
  </w:num>
  <w:num w:numId="12">
    <w:abstractNumId w:val="10"/>
  </w:num>
  <w:num w:numId="13">
    <w:abstractNumId w:val="27"/>
  </w:num>
  <w:num w:numId="14">
    <w:abstractNumId w:val="35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15"/>
  </w:num>
  <w:num w:numId="22">
    <w:abstractNumId w:val="36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29"/>
  </w:num>
  <w:num w:numId="28">
    <w:abstractNumId w:val="1"/>
  </w:num>
  <w:num w:numId="29">
    <w:abstractNumId w:val="16"/>
  </w:num>
  <w:num w:numId="30">
    <w:abstractNumId w:val="34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1E"/>
    <w:rsid w:val="000000E3"/>
    <w:rsid w:val="00001D1D"/>
    <w:rsid w:val="000063E3"/>
    <w:rsid w:val="0001089B"/>
    <w:rsid w:val="000126E9"/>
    <w:rsid w:val="00012EF6"/>
    <w:rsid w:val="00014968"/>
    <w:rsid w:val="00014E0B"/>
    <w:rsid w:val="00020885"/>
    <w:rsid w:val="000209E1"/>
    <w:rsid w:val="00021178"/>
    <w:rsid w:val="0002197D"/>
    <w:rsid w:val="00022E7E"/>
    <w:rsid w:val="00033093"/>
    <w:rsid w:val="000334E3"/>
    <w:rsid w:val="0003438A"/>
    <w:rsid w:val="00040848"/>
    <w:rsid w:val="000410D2"/>
    <w:rsid w:val="00042959"/>
    <w:rsid w:val="00042F38"/>
    <w:rsid w:val="00043788"/>
    <w:rsid w:val="000441F0"/>
    <w:rsid w:val="000448F1"/>
    <w:rsid w:val="00045D91"/>
    <w:rsid w:val="00052585"/>
    <w:rsid w:val="00053085"/>
    <w:rsid w:val="000601AF"/>
    <w:rsid w:val="00063AA9"/>
    <w:rsid w:val="00066999"/>
    <w:rsid w:val="0006782C"/>
    <w:rsid w:val="0007203D"/>
    <w:rsid w:val="000727F6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A4BE4"/>
    <w:rsid w:val="000A5D1E"/>
    <w:rsid w:val="000A7396"/>
    <w:rsid w:val="000B29A6"/>
    <w:rsid w:val="000B3EA8"/>
    <w:rsid w:val="000B5A2E"/>
    <w:rsid w:val="000B7182"/>
    <w:rsid w:val="000C1134"/>
    <w:rsid w:val="000C4A1B"/>
    <w:rsid w:val="000C6772"/>
    <w:rsid w:val="000D06C5"/>
    <w:rsid w:val="000D0713"/>
    <w:rsid w:val="000D32DE"/>
    <w:rsid w:val="000D534A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6532"/>
    <w:rsid w:val="00116B9F"/>
    <w:rsid w:val="00120878"/>
    <w:rsid w:val="00121E7F"/>
    <w:rsid w:val="001239AA"/>
    <w:rsid w:val="0012534A"/>
    <w:rsid w:val="00125964"/>
    <w:rsid w:val="00127D2D"/>
    <w:rsid w:val="00131508"/>
    <w:rsid w:val="00132E7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55347"/>
    <w:rsid w:val="001609B8"/>
    <w:rsid w:val="001618F0"/>
    <w:rsid w:val="001618FF"/>
    <w:rsid w:val="00161D41"/>
    <w:rsid w:val="001629C3"/>
    <w:rsid w:val="00166282"/>
    <w:rsid w:val="00166578"/>
    <w:rsid w:val="00171A24"/>
    <w:rsid w:val="00171C87"/>
    <w:rsid w:val="00173C9A"/>
    <w:rsid w:val="00174B3E"/>
    <w:rsid w:val="0017549D"/>
    <w:rsid w:val="001754BE"/>
    <w:rsid w:val="00175643"/>
    <w:rsid w:val="00176DD3"/>
    <w:rsid w:val="00181148"/>
    <w:rsid w:val="0018206D"/>
    <w:rsid w:val="00182A92"/>
    <w:rsid w:val="00183385"/>
    <w:rsid w:val="00184D71"/>
    <w:rsid w:val="00185452"/>
    <w:rsid w:val="00185A59"/>
    <w:rsid w:val="00185E08"/>
    <w:rsid w:val="0018661C"/>
    <w:rsid w:val="00187723"/>
    <w:rsid w:val="00187F32"/>
    <w:rsid w:val="0019124A"/>
    <w:rsid w:val="00191984"/>
    <w:rsid w:val="001952EC"/>
    <w:rsid w:val="00195CAB"/>
    <w:rsid w:val="001971E6"/>
    <w:rsid w:val="001A187E"/>
    <w:rsid w:val="001A2610"/>
    <w:rsid w:val="001A27B7"/>
    <w:rsid w:val="001A4565"/>
    <w:rsid w:val="001A7B21"/>
    <w:rsid w:val="001B01FD"/>
    <w:rsid w:val="001B0360"/>
    <w:rsid w:val="001B15F1"/>
    <w:rsid w:val="001B42BD"/>
    <w:rsid w:val="001B4872"/>
    <w:rsid w:val="001B64A1"/>
    <w:rsid w:val="001B6745"/>
    <w:rsid w:val="001B7800"/>
    <w:rsid w:val="001C3F0B"/>
    <w:rsid w:val="001D1FCD"/>
    <w:rsid w:val="001D579C"/>
    <w:rsid w:val="001D7A3C"/>
    <w:rsid w:val="001D7F76"/>
    <w:rsid w:val="001E0172"/>
    <w:rsid w:val="001E3E4D"/>
    <w:rsid w:val="001E4E01"/>
    <w:rsid w:val="001E5D2E"/>
    <w:rsid w:val="001E6BAC"/>
    <w:rsid w:val="001F4406"/>
    <w:rsid w:val="001F77AE"/>
    <w:rsid w:val="002037DE"/>
    <w:rsid w:val="00203F34"/>
    <w:rsid w:val="00212D72"/>
    <w:rsid w:val="002201F6"/>
    <w:rsid w:val="002204CF"/>
    <w:rsid w:val="002217E3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35A"/>
    <w:rsid w:val="002373D4"/>
    <w:rsid w:val="00242624"/>
    <w:rsid w:val="0024324C"/>
    <w:rsid w:val="0024585F"/>
    <w:rsid w:val="002473A7"/>
    <w:rsid w:val="002478F4"/>
    <w:rsid w:val="00252A6A"/>
    <w:rsid w:val="00253B0E"/>
    <w:rsid w:val="00256CA5"/>
    <w:rsid w:val="00261580"/>
    <w:rsid w:val="00261966"/>
    <w:rsid w:val="00261A0E"/>
    <w:rsid w:val="002637D1"/>
    <w:rsid w:val="00266371"/>
    <w:rsid w:val="00266F6D"/>
    <w:rsid w:val="00270D64"/>
    <w:rsid w:val="002716CB"/>
    <w:rsid w:val="00275504"/>
    <w:rsid w:val="00275C75"/>
    <w:rsid w:val="00276DBA"/>
    <w:rsid w:val="00276F7F"/>
    <w:rsid w:val="00277521"/>
    <w:rsid w:val="00277606"/>
    <w:rsid w:val="00281AA3"/>
    <w:rsid w:val="00284702"/>
    <w:rsid w:val="00286579"/>
    <w:rsid w:val="00286C6C"/>
    <w:rsid w:val="0029071C"/>
    <w:rsid w:val="00291765"/>
    <w:rsid w:val="002929BE"/>
    <w:rsid w:val="00294CB3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C1BB4"/>
    <w:rsid w:val="002C2316"/>
    <w:rsid w:val="002C2C5A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301A80"/>
    <w:rsid w:val="00304A2C"/>
    <w:rsid w:val="00305B73"/>
    <w:rsid w:val="00306399"/>
    <w:rsid w:val="003067C1"/>
    <w:rsid w:val="00307AE7"/>
    <w:rsid w:val="00310743"/>
    <w:rsid w:val="00315E59"/>
    <w:rsid w:val="00321073"/>
    <w:rsid w:val="00325286"/>
    <w:rsid w:val="0032711E"/>
    <w:rsid w:val="0033266C"/>
    <w:rsid w:val="00332E47"/>
    <w:rsid w:val="00337E4D"/>
    <w:rsid w:val="00342276"/>
    <w:rsid w:val="00342535"/>
    <w:rsid w:val="00343894"/>
    <w:rsid w:val="0034572E"/>
    <w:rsid w:val="0034776B"/>
    <w:rsid w:val="003519C3"/>
    <w:rsid w:val="00352C6E"/>
    <w:rsid w:val="003555EA"/>
    <w:rsid w:val="0035590C"/>
    <w:rsid w:val="0036088D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643"/>
    <w:rsid w:val="0039195D"/>
    <w:rsid w:val="00391E0B"/>
    <w:rsid w:val="00392211"/>
    <w:rsid w:val="00392BBE"/>
    <w:rsid w:val="0039309F"/>
    <w:rsid w:val="00393B58"/>
    <w:rsid w:val="0039537B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1BC"/>
    <w:rsid w:val="003E77E9"/>
    <w:rsid w:val="003F4D02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AE6"/>
    <w:rsid w:val="00416292"/>
    <w:rsid w:val="00420807"/>
    <w:rsid w:val="004210EE"/>
    <w:rsid w:val="004224D9"/>
    <w:rsid w:val="00422F79"/>
    <w:rsid w:val="00423626"/>
    <w:rsid w:val="0042714A"/>
    <w:rsid w:val="00431304"/>
    <w:rsid w:val="004361B3"/>
    <w:rsid w:val="00440160"/>
    <w:rsid w:val="00441164"/>
    <w:rsid w:val="00445D89"/>
    <w:rsid w:val="004508C8"/>
    <w:rsid w:val="00452B5D"/>
    <w:rsid w:val="004533D7"/>
    <w:rsid w:val="00453EAE"/>
    <w:rsid w:val="00461E02"/>
    <w:rsid w:val="00463057"/>
    <w:rsid w:val="00464516"/>
    <w:rsid w:val="00465474"/>
    <w:rsid w:val="00465B9F"/>
    <w:rsid w:val="0046613A"/>
    <w:rsid w:val="00466CFA"/>
    <w:rsid w:val="00466D05"/>
    <w:rsid w:val="00474249"/>
    <w:rsid w:val="004778A2"/>
    <w:rsid w:val="00477A7B"/>
    <w:rsid w:val="00481034"/>
    <w:rsid w:val="00483A84"/>
    <w:rsid w:val="00484249"/>
    <w:rsid w:val="004855F9"/>
    <w:rsid w:val="00490A10"/>
    <w:rsid w:val="0049181B"/>
    <w:rsid w:val="00495977"/>
    <w:rsid w:val="00496253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25F"/>
    <w:rsid w:val="004B6DF1"/>
    <w:rsid w:val="004C0CE9"/>
    <w:rsid w:val="004C27E8"/>
    <w:rsid w:val="004C3BF9"/>
    <w:rsid w:val="004C434D"/>
    <w:rsid w:val="004C5F97"/>
    <w:rsid w:val="004D03BE"/>
    <w:rsid w:val="004D1CA2"/>
    <w:rsid w:val="004D3CCA"/>
    <w:rsid w:val="004D5EBF"/>
    <w:rsid w:val="004D697B"/>
    <w:rsid w:val="004E05C1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3FB6"/>
    <w:rsid w:val="00506E3E"/>
    <w:rsid w:val="00510C52"/>
    <w:rsid w:val="00511A92"/>
    <w:rsid w:val="00511EDD"/>
    <w:rsid w:val="00512514"/>
    <w:rsid w:val="00513379"/>
    <w:rsid w:val="00514E97"/>
    <w:rsid w:val="00516D74"/>
    <w:rsid w:val="0052405D"/>
    <w:rsid w:val="00525449"/>
    <w:rsid w:val="00530CBB"/>
    <w:rsid w:val="00530DFC"/>
    <w:rsid w:val="005323AB"/>
    <w:rsid w:val="00536437"/>
    <w:rsid w:val="00537162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219B"/>
    <w:rsid w:val="00574870"/>
    <w:rsid w:val="0057558B"/>
    <w:rsid w:val="00575EEF"/>
    <w:rsid w:val="00576A08"/>
    <w:rsid w:val="00576E1B"/>
    <w:rsid w:val="005810C5"/>
    <w:rsid w:val="00583A38"/>
    <w:rsid w:val="00585F65"/>
    <w:rsid w:val="005871F4"/>
    <w:rsid w:val="00590DA7"/>
    <w:rsid w:val="00590F7D"/>
    <w:rsid w:val="00591058"/>
    <w:rsid w:val="00591C2F"/>
    <w:rsid w:val="00591DCD"/>
    <w:rsid w:val="005926A0"/>
    <w:rsid w:val="00593B87"/>
    <w:rsid w:val="00593DCC"/>
    <w:rsid w:val="005952E8"/>
    <w:rsid w:val="00596CF4"/>
    <w:rsid w:val="005A1750"/>
    <w:rsid w:val="005A2894"/>
    <w:rsid w:val="005A37DC"/>
    <w:rsid w:val="005A4334"/>
    <w:rsid w:val="005A4A5E"/>
    <w:rsid w:val="005A67AC"/>
    <w:rsid w:val="005A7289"/>
    <w:rsid w:val="005B1A75"/>
    <w:rsid w:val="005B1BD7"/>
    <w:rsid w:val="005B3F4B"/>
    <w:rsid w:val="005B4C13"/>
    <w:rsid w:val="005B549E"/>
    <w:rsid w:val="005C1D7B"/>
    <w:rsid w:val="005C3204"/>
    <w:rsid w:val="005C4067"/>
    <w:rsid w:val="005C48DA"/>
    <w:rsid w:val="005C50AD"/>
    <w:rsid w:val="005C595D"/>
    <w:rsid w:val="005C5A38"/>
    <w:rsid w:val="005C5C30"/>
    <w:rsid w:val="005D02D7"/>
    <w:rsid w:val="005D2829"/>
    <w:rsid w:val="005D2E7C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5328"/>
    <w:rsid w:val="005E6026"/>
    <w:rsid w:val="005E695C"/>
    <w:rsid w:val="005E7333"/>
    <w:rsid w:val="005F1611"/>
    <w:rsid w:val="005F1867"/>
    <w:rsid w:val="005F3926"/>
    <w:rsid w:val="005F7C27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B4B"/>
    <w:rsid w:val="00625077"/>
    <w:rsid w:val="00630E96"/>
    <w:rsid w:val="00631670"/>
    <w:rsid w:val="00632B5F"/>
    <w:rsid w:val="006332B7"/>
    <w:rsid w:val="006376AF"/>
    <w:rsid w:val="00640A1C"/>
    <w:rsid w:val="00641A0E"/>
    <w:rsid w:val="00643FBD"/>
    <w:rsid w:val="0064464A"/>
    <w:rsid w:val="006457C0"/>
    <w:rsid w:val="00645A05"/>
    <w:rsid w:val="0064733D"/>
    <w:rsid w:val="006500E8"/>
    <w:rsid w:val="00654E27"/>
    <w:rsid w:val="00656EF1"/>
    <w:rsid w:val="00657280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83CBF"/>
    <w:rsid w:val="006863F5"/>
    <w:rsid w:val="00686D42"/>
    <w:rsid w:val="00687E4F"/>
    <w:rsid w:val="00690CFD"/>
    <w:rsid w:val="00692C0F"/>
    <w:rsid w:val="00692D9B"/>
    <w:rsid w:val="006937CD"/>
    <w:rsid w:val="0069399E"/>
    <w:rsid w:val="00694725"/>
    <w:rsid w:val="00695C50"/>
    <w:rsid w:val="006971A4"/>
    <w:rsid w:val="00697544"/>
    <w:rsid w:val="00697AAC"/>
    <w:rsid w:val="006A03FF"/>
    <w:rsid w:val="006A2D98"/>
    <w:rsid w:val="006A4007"/>
    <w:rsid w:val="006A4C21"/>
    <w:rsid w:val="006A6165"/>
    <w:rsid w:val="006A63A1"/>
    <w:rsid w:val="006A6A55"/>
    <w:rsid w:val="006B2806"/>
    <w:rsid w:val="006B2B60"/>
    <w:rsid w:val="006B3791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D1EA6"/>
    <w:rsid w:val="006D28E3"/>
    <w:rsid w:val="006D4857"/>
    <w:rsid w:val="006D58F2"/>
    <w:rsid w:val="006E1B30"/>
    <w:rsid w:val="006E3717"/>
    <w:rsid w:val="006E423C"/>
    <w:rsid w:val="006E54DB"/>
    <w:rsid w:val="006E5677"/>
    <w:rsid w:val="006E68E3"/>
    <w:rsid w:val="006F0B8A"/>
    <w:rsid w:val="006F0E03"/>
    <w:rsid w:val="006F23E0"/>
    <w:rsid w:val="006F33CB"/>
    <w:rsid w:val="006F3844"/>
    <w:rsid w:val="006F4D54"/>
    <w:rsid w:val="006F59BF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36B0"/>
    <w:rsid w:val="00755081"/>
    <w:rsid w:val="00755B8E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371A"/>
    <w:rsid w:val="00784A92"/>
    <w:rsid w:val="007877F7"/>
    <w:rsid w:val="00790839"/>
    <w:rsid w:val="007910D8"/>
    <w:rsid w:val="00794E40"/>
    <w:rsid w:val="00795F9A"/>
    <w:rsid w:val="007A4645"/>
    <w:rsid w:val="007A4E6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B62"/>
    <w:rsid w:val="007C624B"/>
    <w:rsid w:val="007D131F"/>
    <w:rsid w:val="007D2205"/>
    <w:rsid w:val="007D52A7"/>
    <w:rsid w:val="007D5A13"/>
    <w:rsid w:val="007E08EA"/>
    <w:rsid w:val="007E1BAD"/>
    <w:rsid w:val="007E22A1"/>
    <w:rsid w:val="007E41FB"/>
    <w:rsid w:val="007E5048"/>
    <w:rsid w:val="007E62E0"/>
    <w:rsid w:val="007F1517"/>
    <w:rsid w:val="007F49C2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3181"/>
    <w:rsid w:val="00825195"/>
    <w:rsid w:val="0082722B"/>
    <w:rsid w:val="008273AC"/>
    <w:rsid w:val="008308E8"/>
    <w:rsid w:val="0083090E"/>
    <w:rsid w:val="00835A5F"/>
    <w:rsid w:val="00837C97"/>
    <w:rsid w:val="00845940"/>
    <w:rsid w:val="00851A05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3C21"/>
    <w:rsid w:val="008C6056"/>
    <w:rsid w:val="008D4948"/>
    <w:rsid w:val="008D5412"/>
    <w:rsid w:val="008D5473"/>
    <w:rsid w:val="008E0FB9"/>
    <w:rsid w:val="008E1445"/>
    <w:rsid w:val="008E1484"/>
    <w:rsid w:val="008E21B6"/>
    <w:rsid w:val="008E2888"/>
    <w:rsid w:val="008E45BE"/>
    <w:rsid w:val="008E5EEB"/>
    <w:rsid w:val="008E6A2A"/>
    <w:rsid w:val="008F16E4"/>
    <w:rsid w:val="008F375A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12D69"/>
    <w:rsid w:val="00913FF1"/>
    <w:rsid w:val="00914E18"/>
    <w:rsid w:val="009175BB"/>
    <w:rsid w:val="009179C9"/>
    <w:rsid w:val="009209FE"/>
    <w:rsid w:val="00920A3F"/>
    <w:rsid w:val="0092305C"/>
    <w:rsid w:val="00923286"/>
    <w:rsid w:val="009241DF"/>
    <w:rsid w:val="00926FE6"/>
    <w:rsid w:val="00931BCF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9D0"/>
    <w:rsid w:val="00966296"/>
    <w:rsid w:val="009736CD"/>
    <w:rsid w:val="0097464C"/>
    <w:rsid w:val="00974A5C"/>
    <w:rsid w:val="00977293"/>
    <w:rsid w:val="00977883"/>
    <w:rsid w:val="009827C4"/>
    <w:rsid w:val="0098314A"/>
    <w:rsid w:val="0098376A"/>
    <w:rsid w:val="009841E2"/>
    <w:rsid w:val="00987AC8"/>
    <w:rsid w:val="0099080E"/>
    <w:rsid w:val="009956BF"/>
    <w:rsid w:val="00996AC9"/>
    <w:rsid w:val="00996D15"/>
    <w:rsid w:val="009A276C"/>
    <w:rsid w:val="009A486F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E0362"/>
    <w:rsid w:val="009E04F5"/>
    <w:rsid w:val="009E09B5"/>
    <w:rsid w:val="009E39E1"/>
    <w:rsid w:val="009E3A8D"/>
    <w:rsid w:val="009E3CB1"/>
    <w:rsid w:val="009E48F1"/>
    <w:rsid w:val="009E52FC"/>
    <w:rsid w:val="009E6A70"/>
    <w:rsid w:val="009F0E91"/>
    <w:rsid w:val="009F49E8"/>
    <w:rsid w:val="009F53AE"/>
    <w:rsid w:val="00A01622"/>
    <w:rsid w:val="00A0269A"/>
    <w:rsid w:val="00A05264"/>
    <w:rsid w:val="00A0729C"/>
    <w:rsid w:val="00A079D9"/>
    <w:rsid w:val="00A16286"/>
    <w:rsid w:val="00A222E4"/>
    <w:rsid w:val="00A25103"/>
    <w:rsid w:val="00A2599E"/>
    <w:rsid w:val="00A2632A"/>
    <w:rsid w:val="00A31792"/>
    <w:rsid w:val="00A3269B"/>
    <w:rsid w:val="00A33263"/>
    <w:rsid w:val="00A36A24"/>
    <w:rsid w:val="00A37D98"/>
    <w:rsid w:val="00A42A77"/>
    <w:rsid w:val="00A45356"/>
    <w:rsid w:val="00A5363E"/>
    <w:rsid w:val="00A564A2"/>
    <w:rsid w:val="00A5766F"/>
    <w:rsid w:val="00A5784E"/>
    <w:rsid w:val="00A62C9E"/>
    <w:rsid w:val="00A6343E"/>
    <w:rsid w:val="00A63D1B"/>
    <w:rsid w:val="00A64C25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019D"/>
    <w:rsid w:val="00A921D2"/>
    <w:rsid w:val="00A93137"/>
    <w:rsid w:val="00A93390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5D32"/>
    <w:rsid w:val="00AB20F2"/>
    <w:rsid w:val="00AB3660"/>
    <w:rsid w:val="00AB43D1"/>
    <w:rsid w:val="00AB5D35"/>
    <w:rsid w:val="00AB753F"/>
    <w:rsid w:val="00AC0390"/>
    <w:rsid w:val="00AC2AE5"/>
    <w:rsid w:val="00AC3479"/>
    <w:rsid w:val="00AC391E"/>
    <w:rsid w:val="00AC3EBF"/>
    <w:rsid w:val="00AC4F60"/>
    <w:rsid w:val="00AC6888"/>
    <w:rsid w:val="00AC6C32"/>
    <w:rsid w:val="00AC7DA9"/>
    <w:rsid w:val="00AD0E7C"/>
    <w:rsid w:val="00AD37A4"/>
    <w:rsid w:val="00AD4BF7"/>
    <w:rsid w:val="00AD6343"/>
    <w:rsid w:val="00AD6860"/>
    <w:rsid w:val="00AE0E19"/>
    <w:rsid w:val="00AE1FDF"/>
    <w:rsid w:val="00AE55FA"/>
    <w:rsid w:val="00AE5F81"/>
    <w:rsid w:val="00AE7DDE"/>
    <w:rsid w:val="00AF006D"/>
    <w:rsid w:val="00AF1582"/>
    <w:rsid w:val="00AF1667"/>
    <w:rsid w:val="00AF16B4"/>
    <w:rsid w:val="00AF227E"/>
    <w:rsid w:val="00AF2FC2"/>
    <w:rsid w:val="00AF56DE"/>
    <w:rsid w:val="00B00188"/>
    <w:rsid w:val="00B020D5"/>
    <w:rsid w:val="00B03EE7"/>
    <w:rsid w:val="00B0577D"/>
    <w:rsid w:val="00B06B6D"/>
    <w:rsid w:val="00B06BCD"/>
    <w:rsid w:val="00B11594"/>
    <w:rsid w:val="00B13925"/>
    <w:rsid w:val="00B162CE"/>
    <w:rsid w:val="00B16C52"/>
    <w:rsid w:val="00B16FF5"/>
    <w:rsid w:val="00B23FEC"/>
    <w:rsid w:val="00B243B1"/>
    <w:rsid w:val="00B27BAD"/>
    <w:rsid w:val="00B31E0A"/>
    <w:rsid w:val="00B340B7"/>
    <w:rsid w:val="00B34E13"/>
    <w:rsid w:val="00B35026"/>
    <w:rsid w:val="00B35F62"/>
    <w:rsid w:val="00B37346"/>
    <w:rsid w:val="00B3756D"/>
    <w:rsid w:val="00B40C12"/>
    <w:rsid w:val="00B40E6F"/>
    <w:rsid w:val="00B4147A"/>
    <w:rsid w:val="00B44E37"/>
    <w:rsid w:val="00B45FDC"/>
    <w:rsid w:val="00B46727"/>
    <w:rsid w:val="00B51B41"/>
    <w:rsid w:val="00B5201E"/>
    <w:rsid w:val="00B52A63"/>
    <w:rsid w:val="00B52B5A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0EFB"/>
    <w:rsid w:val="00B72185"/>
    <w:rsid w:val="00B73752"/>
    <w:rsid w:val="00B77BA6"/>
    <w:rsid w:val="00B80000"/>
    <w:rsid w:val="00B80271"/>
    <w:rsid w:val="00B82183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A3434"/>
    <w:rsid w:val="00BA3E82"/>
    <w:rsid w:val="00BA42AC"/>
    <w:rsid w:val="00BA4588"/>
    <w:rsid w:val="00BA4770"/>
    <w:rsid w:val="00BA4922"/>
    <w:rsid w:val="00BA62D0"/>
    <w:rsid w:val="00BB0A5D"/>
    <w:rsid w:val="00BB2C7D"/>
    <w:rsid w:val="00BB50CB"/>
    <w:rsid w:val="00BB5CE4"/>
    <w:rsid w:val="00BB6EBE"/>
    <w:rsid w:val="00BC1BB6"/>
    <w:rsid w:val="00BC2EE4"/>
    <w:rsid w:val="00BC4C59"/>
    <w:rsid w:val="00BD0EE6"/>
    <w:rsid w:val="00BD0FB6"/>
    <w:rsid w:val="00BD1C69"/>
    <w:rsid w:val="00BD33FC"/>
    <w:rsid w:val="00BD3FCC"/>
    <w:rsid w:val="00BD418B"/>
    <w:rsid w:val="00BD52A9"/>
    <w:rsid w:val="00BE0620"/>
    <w:rsid w:val="00BE1333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5588"/>
    <w:rsid w:val="00C37054"/>
    <w:rsid w:val="00C37088"/>
    <w:rsid w:val="00C417F8"/>
    <w:rsid w:val="00C4187E"/>
    <w:rsid w:val="00C41EC8"/>
    <w:rsid w:val="00C42778"/>
    <w:rsid w:val="00C45809"/>
    <w:rsid w:val="00C47F43"/>
    <w:rsid w:val="00C50D4D"/>
    <w:rsid w:val="00C54A0C"/>
    <w:rsid w:val="00C56409"/>
    <w:rsid w:val="00C605E4"/>
    <w:rsid w:val="00C607D6"/>
    <w:rsid w:val="00C6397D"/>
    <w:rsid w:val="00C65004"/>
    <w:rsid w:val="00C65BF3"/>
    <w:rsid w:val="00C7399D"/>
    <w:rsid w:val="00C76AC3"/>
    <w:rsid w:val="00C77DCE"/>
    <w:rsid w:val="00C83FCB"/>
    <w:rsid w:val="00C8682C"/>
    <w:rsid w:val="00C87CAB"/>
    <w:rsid w:val="00C915CC"/>
    <w:rsid w:val="00C93785"/>
    <w:rsid w:val="00C94A63"/>
    <w:rsid w:val="00C94C0A"/>
    <w:rsid w:val="00C9546C"/>
    <w:rsid w:val="00C960BC"/>
    <w:rsid w:val="00C963CF"/>
    <w:rsid w:val="00C96911"/>
    <w:rsid w:val="00C97461"/>
    <w:rsid w:val="00CA0880"/>
    <w:rsid w:val="00CA0EBA"/>
    <w:rsid w:val="00CA22C4"/>
    <w:rsid w:val="00CB1D4C"/>
    <w:rsid w:val="00CB437B"/>
    <w:rsid w:val="00CB4E7A"/>
    <w:rsid w:val="00CB5BFE"/>
    <w:rsid w:val="00CB752F"/>
    <w:rsid w:val="00CB7AEA"/>
    <w:rsid w:val="00CC0E7F"/>
    <w:rsid w:val="00CC1CCB"/>
    <w:rsid w:val="00CC21ED"/>
    <w:rsid w:val="00CC2F1A"/>
    <w:rsid w:val="00CC475F"/>
    <w:rsid w:val="00CC7D3E"/>
    <w:rsid w:val="00CD0C7D"/>
    <w:rsid w:val="00CD2A03"/>
    <w:rsid w:val="00CD2F51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E7071"/>
    <w:rsid w:val="00CF20FB"/>
    <w:rsid w:val="00CF277C"/>
    <w:rsid w:val="00CF283A"/>
    <w:rsid w:val="00CF3A91"/>
    <w:rsid w:val="00CF4F70"/>
    <w:rsid w:val="00CF5478"/>
    <w:rsid w:val="00CF736B"/>
    <w:rsid w:val="00D0174A"/>
    <w:rsid w:val="00D01E82"/>
    <w:rsid w:val="00D05094"/>
    <w:rsid w:val="00D067D5"/>
    <w:rsid w:val="00D068F4"/>
    <w:rsid w:val="00D10BEE"/>
    <w:rsid w:val="00D125EE"/>
    <w:rsid w:val="00D12D72"/>
    <w:rsid w:val="00D15787"/>
    <w:rsid w:val="00D1667F"/>
    <w:rsid w:val="00D16AB1"/>
    <w:rsid w:val="00D16E96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51FAB"/>
    <w:rsid w:val="00D52470"/>
    <w:rsid w:val="00D53BD7"/>
    <w:rsid w:val="00D54033"/>
    <w:rsid w:val="00D56505"/>
    <w:rsid w:val="00D5697A"/>
    <w:rsid w:val="00D60F0C"/>
    <w:rsid w:val="00D658D4"/>
    <w:rsid w:val="00D70514"/>
    <w:rsid w:val="00D7226B"/>
    <w:rsid w:val="00D73199"/>
    <w:rsid w:val="00D73BC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06C3"/>
    <w:rsid w:val="00DA1B8A"/>
    <w:rsid w:val="00DA30B9"/>
    <w:rsid w:val="00DA3BD5"/>
    <w:rsid w:val="00DA4F5A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042B"/>
    <w:rsid w:val="00DC1613"/>
    <w:rsid w:val="00DC22D0"/>
    <w:rsid w:val="00DC25B5"/>
    <w:rsid w:val="00DC25C1"/>
    <w:rsid w:val="00DC29C7"/>
    <w:rsid w:val="00DC3B21"/>
    <w:rsid w:val="00DC6DE6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F03FD"/>
    <w:rsid w:val="00DF127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5B53"/>
    <w:rsid w:val="00E078A1"/>
    <w:rsid w:val="00E103AF"/>
    <w:rsid w:val="00E12DE1"/>
    <w:rsid w:val="00E13729"/>
    <w:rsid w:val="00E13CD6"/>
    <w:rsid w:val="00E209E4"/>
    <w:rsid w:val="00E21127"/>
    <w:rsid w:val="00E214EE"/>
    <w:rsid w:val="00E2234C"/>
    <w:rsid w:val="00E32243"/>
    <w:rsid w:val="00E33BC0"/>
    <w:rsid w:val="00E34579"/>
    <w:rsid w:val="00E34E6B"/>
    <w:rsid w:val="00E35298"/>
    <w:rsid w:val="00E35795"/>
    <w:rsid w:val="00E36019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52184"/>
    <w:rsid w:val="00E52C8A"/>
    <w:rsid w:val="00E53853"/>
    <w:rsid w:val="00E53B3A"/>
    <w:rsid w:val="00E56F5C"/>
    <w:rsid w:val="00E57D5B"/>
    <w:rsid w:val="00E601AA"/>
    <w:rsid w:val="00E62CDB"/>
    <w:rsid w:val="00E6501B"/>
    <w:rsid w:val="00E666DB"/>
    <w:rsid w:val="00E67918"/>
    <w:rsid w:val="00E70DC6"/>
    <w:rsid w:val="00E710B9"/>
    <w:rsid w:val="00E8176E"/>
    <w:rsid w:val="00E82489"/>
    <w:rsid w:val="00E82B23"/>
    <w:rsid w:val="00E82DBF"/>
    <w:rsid w:val="00E860B0"/>
    <w:rsid w:val="00E863F1"/>
    <w:rsid w:val="00E90009"/>
    <w:rsid w:val="00E90392"/>
    <w:rsid w:val="00E90C0E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329A"/>
    <w:rsid w:val="00EA35F9"/>
    <w:rsid w:val="00EA57E1"/>
    <w:rsid w:val="00EA74DB"/>
    <w:rsid w:val="00EA7E7A"/>
    <w:rsid w:val="00EB06F2"/>
    <w:rsid w:val="00EB4E9C"/>
    <w:rsid w:val="00EB625E"/>
    <w:rsid w:val="00EC3980"/>
    <w:rsid w:val="00EC622F"/>
    <w:rsid w:val="00EC6739"/>
    <w:rsid w:val="00ED0095"/>
    <w:rsid w:val="00ED1D02"/>
    <w:rsid w:val="00ED314B"/>
    <w:rsid w:val="00ED31D7"/>
    <w:rsid w:val="00ED38A9"/>
    <w:rsid w:val="00ED3D64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48D"/>
    <w:rsid w:val="00F027BC"/>
    <w:rsid w:val="00F02DCD"/>
    <w:rsid w:val="00F03949"/>
    <w:rsid w:val="00F047AB"/>
    <w:rsid w:val="00F04B93"/>
    <w:rsid w:val="00F054CA"/>
    <w:rsid w:val="00F05FA4"/>
    <w:rsid w:val="00F061A9"/>
    <w:rsid w:val="00F064E4"/>
    <w:rsid w:val="00F111FF"/>
    <w:rsid w:val="00F11581"/>
    <w:rsid w:val="00F116B4"/>
    <w:rsid w:val="00F14CC9"/>
    <w:rsid w:val="00F154F3"/>
    <w:rsid w:val="00F1575B"/>
    <w:rsid w:val="00F172EF"/>
    <w:rsid w:val="00F2278F"/>
    <w:rsid w:val="00F232BC"/>
    <w:rsid w:val="00F30188"/>
    <w:rsid w:val="00F30575"/>
    <w:rsid w:val="00F3143B"/>
    <w:rsid w:val="00F34679"/>
    <w:rsid w:val="00F34E62"/>
    <w:rsid w:val="00F3571F"/>
    <w:rsid w:val="00F35C52"/>
    <w:rsid w:val="00F36BA1"/>
    <w:rsid w:val="00F41E65"/>
    <w:rsid w:val="00F43793"/>
    <w:rsid w:val="00F43F36"/>
    <w:rsid w:val="00F467DF"/>
    <w:rsid w:val="00F50D70"/>
    <w:rsid w:val="00F52283"/>
    <w:rsid w:val="00F554E7"/>
    <w:rsid w:val="00F645F5"/>
    <w:rsid w:val="00F73314"/>
    <w:rsid w:val="00F7338B"/>
    <w:rsid w:val="00F736D9"/>
    <w:rsid w:val="00F75960"/>
    <w:rsid w:val="00F75C5A"/>
    <w:rsid w:val="00F8005D"/>
    <w:rsid w:val="00F8274B"/>
    <w:rsid w:val="00F83739"/>
    <w:rsid w:val="00F859D7"/>
    <w:rsid w:val="00F91422"/>
    <w:rsid w:val="00F94851"/>
    <w:rsid w:val="00F953EA"/>
    <w:rsid w:val="00F966D2"/>
    <w:rsid w:val="00F96E81"/>
    <w:rsid w:val="00FA00A3"/>
    <w:rsid w:val="00FA0488"/>
    <w:rsid w:val="00FA2D1B"/>
    <w:rsid w:val="00FA3249"/>
    <w:rsid w:val="00FA5ACD"/>
    <w:rsid w:val="00FA7487"/>
    <w:rsid w:val="00FA7CF7"/>
    <w:rsid w:val="00FB15AD"/>
    <w:rsid w:val="00FB1962"/>
    <w:rsid w:val="00FB2262"/>
    <w:rsid w:val="00FB239A"/>
    <w:rsid w:val="00FB2D76"/>
    <w:rsid w:val="00FB3F32"/>
    <w:rsid w:val="00FC0431"/>
    <w:rsid w:val="00FC1E1D"/>
    <w:rsid w:val="00FC239C"/>
    <w:rsid w:val="00FC5C59"/>
    <w:rsid w:val="00FD21DF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1B9E"/>
    <w:rsid w:val="00FF22A9"/>
    <w:rsid w:val="00FF3F3D"/>
    <w:rsid w:val="00FF510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FFE43C-AF70-40FD-A5E0-7677392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9">
    <w:name w:val="Body Text Indent"/>
    <w:basedOn w:val="a"/>
    <w:link w:val="afa"/>
    <w:uiPriority w:val="99"/>
    <w:semiHidden/>
    <w:unhideWhenUsed/>
    <w:rsid w:val="0080749D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b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c">
    <w:name w:val="Normal (Web)"/>
    <w:basedOn w:val="a"/>
    <w:uiPriority w:val="99"/>
    <w:semiHidden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d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e">
    <w:name w:val="footnote text"/>
    <w:basedOn w:val="a"/>
    <w:link w:val="aff"/>
    <w:uiPriority w:val="99"/>
    <w:semiHidden/>
    <w:unhideWhenUsed/>
    <w:rsid w:val="0026196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0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f1">
    <w:name w:val="Emphasis"/>
    <w:basedOn w:val="a0"/>
    <w:uiPriority w:val="20"/>
    <w:qFormat/>
    <w:rsid w:val="00D15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CC42-8860-4AA3-8FCA-8806721D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14982</Words>
  <Characters>8540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Користувач</dc:creator>
  <cp:lastModifiedBy>O Pichevskyi</cp:lastModifiedBy>
  <cp:revision>2</cp:revision>
  <cp:lastPrinted>2021-08-10T08:07:00Z</cp:lastPrinted>
  <dcterms:created xsi:type="dcterms:W3CDTF">2022-07-26T11:05:00Z</dcterms:created>
  <dcterms:modified xsi:type="dcterms:W3CDTF">2022-07-26T11:05:00Z</dcterms:modified>
</cp:coreProperties>
</file>