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Pr="006A3C2B">
        <w:rPr>
          <w:rFonts w:ascii="Times New Roman" w:eastAsia="Times New Roman" w:hAnsi="Times New Roman"/>
          <w:sz w:val="26"/>
          <w:szCs w:val="26"/>
          <w:lang w:val="uk-UA" w:eastAsia="ru-RU"/>
        </w:rPr>
        <w:t>проєкту</w:t>
      </w:r>
      <w:proofErr w:type="spellEnd"/>
      <w:r w:rsidRPr="006A3C2B">
        <w:rPr>
          <w:rFonts w:ascii="Times New Roman" w:eastAsia="Times New Roman" w:hAnsi="Times New Roman"/>
          <w:sz w:val="26"/>
          <w:szCs w:val="26"/>
          <w:lang w:val="uk-UA" w:eastAsia="ru-RU"/>
        </w:rPr>
        <w:t xml:space="preserve"> 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p>
    <w:p w:rsidR="00A0269A" w:rsidRPr="00C96347" w:rsidRDefault="00A0269A" w:rsidP="00FA7487">
      <w:pPr>
        <w:pStyle w:val="26"/>
        <w:shd w:val="clear" w:color="auto" w:fill="auto"/>
        <w:spacing w:after="0" w:line="240" w:lineRule="auto"/>
        <w:rPr>
          <w:rFonts w:ascii="Times New Roman" w:hAnsi="Times New Roman"/>
          <w:sz w:val="16"/>
          <w:szCs w:val="16"/>
          <w:lang w:val="uk-UA"/>
        </w:rPr>
      </w:pPr>
    </w:p>
    <w:p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rsidR="006A3C2B" w:rsidRPr="006A3C2B" w:rsidRDefault="006A3C2B" w:rsidP="006A3C2B">
      <w:pPr>
        <w:widowControl w:val="0"/>
        <w:tabs>
          <w:tab w:val="left" w:pos="990"/>
        </w:tabs>
        <w:ind w:firstLine="709"/>
        <w:jc w:val="both"/>
        <w:rPr>
          <w:rFonts w:eastAsia="Times New Roman"/>
          <w:bCs/>
          <w:sz w:val="26"/>
          <w:szCs w:val="26"/>
          <w:lang w:val="uk-UA" w:eastAsia="ru-RU"/>
        </w:rPr>
      </w:pPr>
      <w:proofErr w:type="spellStart"/>
      <w:r w:rsidRPr="006A3C2B">
        <w:rPr>
          <w:rFonts w:eastAsia="Times New Roman"/>
          <w:bCs/>
          <w:sz w:val="26"/>
          <w:szCs w:val="26"/>
          <w:lang w:val="uk-UA" w:eastAsia="ru-RU"/>
        </w:rPr>
        <w:t>Проєкт</w:t>
      </w:r>
      <w:proofErr w:type="spellEnd"/>
      <w:r w:rsidRPr="006A3C2B">
        <w:rPr>
          <w:rFonts w:eastAsia="Times New Roman"/>
          <w:bCs/>
          <w:sz w:val="26"/>
          <w:szCs w:val="26"/>
          <w:lang w:val="uk-UA" w:eastAsia="ru-RU"/>
        </w:rPr>
        <w:t xml:space="preserve"> 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 розроблено на виконання абзацу шостого підпункту «а» підпункту 2 пункту 1 рішення Ради національної безпеки і оборони України від 23 березня 2021 р. «Про виклики і загрози національній безпеці України в екологічній сфері та першочергові заходи щодо їх нейтралізації», введеного в дію Указом Президента України від 23 березня 2021 р. № 111, та абзацу п'ятого підпункту 3 пункту 1 рішення Ради національної безпеки і оборони України від 30 липня 2021 р. «Про стан водних ресурсів України», введеного в дію Указом Президента України від 13 серпня 2021 р. № 357, з метою встановлення адміністративної відповідальності за буріння суб’єктами господарювання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 а також за незабезпечення ліквідаційного санітарно-технічного тампонажу таких свердловин після припинення їх експлуатації.</w:t>
      </w:r>
    </w:p>
    <w:p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Станом на сьогодні суб'єкти господарювання часто не дотримуються нормативних вимог під час буріння свердловин для добування підземних вод та проведення ліквідаційного санітарно-технічного тампонажу таких свердловин після припинення їх експлуатації, що в подальшому призводить до погіршення якості цільового водоносного горизонту та водоносних горизонтів, які залягають вище, а також спрацювання статичних запасів підземних вод.</w:t>
      </w:r>
    </w:p>
    <w:p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 xml:space="preserve">Почастішали випадки спорудження свердловин для добування підземних вод без відповідної проектної документації, без урахування експлуатаційних можливостей водоносних горизонтів та існуючої водогосподарської обстановки. Часто свердловини на воду споруджуються з порушенням прийнятих технологій, з використанням пластикових обсадних труб, які не забезпечують належної герметизації </w:t>
      </w:r>
      <w:proofErr w:type="spellStart"/>
      <w:r w:rsidRPr="006A3C2B">
        <w:rPr>
          <w:rFonts w:eastAsia="Times New Roman"/>
          <w:bCs/>
          <w:sz w:val="26"/>
          <w:szCs w:val="26"/>
          <w:lang w:val="uk-UA" w:eastAsia="ru-RU"/>
        </w:rPr>
        <w:t>затрубного</w:t>
      </w:r>
      <w:proofErr w:type="spellEnd"/>
      <w:r w:rsidRPr="006A3C2B">
        <w:rPr>
          <w:rFonts w:eastAsia="Times New Roman"/>
          <w:bCs/>
          <w:sz w:val="26"/>
          <w:szCs w:val="26"/>
          <w:lang w:val="uk-UA" w:eastAsia="ru-RU"/>
        </w:rPr>
        <w:t xml:space="preserve"> простору та надійної ізоляції цільового водоносного горизонту від надходження некондиційних вод </w:t>
      </w:r>
      <w:proofErr w:type="spellStart"/>
      <w:r w:rsidRPr="006A3C2B">
        <w:rPr>
          <w:rFonts w:eastAsia="Times New Roman"/>
          <w:bCs/>
          <w:sz w:val="26"/>
          <w:szCs w:val="26"/>
          <w:lang w:val="uk-UA" w:eastAsia="ru-RU"/>
        </w:rPr>
        <w:t>вищезалягаючих</w:t>
      </w:r>
      <w:proofErr w:type="spellEnd"/>
      <w:r w:rsidRPr="006A3C2B">
        <w:rPr>
          <w:rFonts w:eastAsia="Times New Roman"/>
          <w:bCs/>
          <w:sz w:val="26"/>
          <w:szCs w:val="26"/>
          <w:lang w:val="uk-UA" w:eastAsia="ru-RU"/>
        </w:rPr>
        <w:t xml:space="preserve"> водоносних горизонтів. Внаслідок цього з часом у свердловині погіршується якість води, а в майбутньому слід очікувати регіонального забруднення та погіршення якості підземних вод держави.</w:t>
      </w:r>
    </w:p>
    <w:p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Крім того, потенційним джерелом забруднення підземних вод є неліквідовані свердловини, які залишаються після припинення експлуатації таких свердловин або зміни власника свердловини та/або землекористувача. За наближеними оцінками таких свердловин може бути десятки тисяч.</w:t>
      </w:r>
    </w:p>
    <w:p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На підставі викладеного, з метою здійснення належного контролю за діяльністю з буріння свердловин для добування підземних вод існує потреба у:</w:t>
      </w:r>
    </w:p>
    <w:p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запровадженні ліцензування такого виду робіт як буріння свердловин для добування підземних вод та їх ліквідація та/або тампонування;</w:t>
      </w:r>
    </w:p>
    <w:p w:rsidR="009F46CD"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 xml:space="preserve">встановленні адміністративної відповідальності за провадження відповідного виду господарської діяльності, що підлягає ліцензуванню відповідно до закону, без </w:t>
      </w:r>
      <w:r w:rsidRPr="006A3C2B">
        <w:rPr>
          <w:rFonts w:eastAsia="Times New Roman"/>
          <w:bCs/>
          <w:sz w:val="26"/>
          <w:szCs w:val="26"/>
          <w:lang w:val="uk-UA" w:eastAsia="ru-RU"/>
        </w:rPr>
        <w:lastRenderedPageBreak/>
        <w:t>ліцензії чи у період зупинення дії такої ліцензії повністю або частково, а також за незабезпечення суб'єктами господарювання ліквідаційного санітарно-технічного тампонажу свердловин для добування підземних вод після припинення їх експлуатації.</w:t>
      </w:r>
    </w:p>
    <w:p w:rsidR="00ED3688" w:rsidRPr="00C96347" w:rsidRDefault="00E26733" w:rsidP="00FA7487">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З метою забезпечення належного виконання </w:t>
      </w:r>
      <w:r w:rsidR="00AA59F0">
        <w:rPr>
          <w:rFonts w:eastAsia="Times New Roman"/>
          <w:bCs/>
          <w:sz w:val="26"/>
          <w:szCs w:val="26"/>
          <w:lang w:val="uk-UA" w:eastAsia="ru-RU"/>
        </w:rPr>
        <w:t xml:space="preserve">вищезазначених </w:t>
      </w:r>
      <w:r w:rsidRPr="00C96347">
        <w:rPr>
          <w:rFonts w:eastAsia="Times New Roman"/>
          <w:bCs/>
          <w:sz w:val="26"/>
          <w:szCs w:val="26"/>
          <w:lang w:val="uk-UA" w:eastAsia="ru-RU"/>
        </w:rPr>
        <w:t>рішен</w:t>
      </w:r>
      <w:r w:rsidR="00AA59F0">
        <w:rPr>
          <w:rFonts w:eastAsia="Times New Roman"/>
          <w:bCs/>
          <w:sz w:val="26"/>
          <w:szCs w:val="26"/>
          <w:lang w:val="uk-UA" w:eastAsia="ru-RU"/>
        </w:rPr>
        <w:t>ь</w:t>
      </w:r>
      <w:r w:rsidRPr="00C96347">
        <w:rPr>
          <w:rFonts w:eastAsia="Times New Roman"/>
          <w:bCs/>
          <w:sz w:val="26"/>
          <w:szCs w:val="26"/>
          <w:lang w:val="uk-UA" w:eastAsia="ru-RU"/>
        </w:rPr>
        <w:t xml:space="preserve">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402C9E" w:rsidRPr="00402C9E">
        <w:rPr>
          <w:rFonts w:eastAsia="Times New Roman"/>
          <w:bCs/>
          <w:sz w:val="26"/>
          <w:szCs w:val="26"/>
          <w:lang w:val="uk-UA" w:eastAsia="ru-RU"/>
        </w:rPr>
        <w:t>ресурсозбереження, забезпечення збалансованого водокористування, забезпечення водної безпеки держави шляхом встановлення адміністративної відповідальності за буріння суб’єктами господарювання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 а також за незабезпечення ліквідаційного санітарно-технічного тампонажу таких свердловин після припинення їх експлуатації</w:t>
      </w:r>
      <w:r w:rsidR="00402C9E">
        <w:rPr>
          <w:rFonts w:eastAsia="Times New Roman"/>
          <w:bCs/>
          <w:sz w:val="26"/>
          <w:szCs w:val="26"/>
          <w:lang w:val="uk-UA" w:eastAsia="ru-RU"/>
        </w:rPr>
        <w:t xml:space="preserve">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E50B15">
        <w:rPr>
          <w:rFonts w:eastAsia="Times New Roman"/>
          <w:bCs/>
          <w:sz w:val="26"/>
          <w:szCs w:val="26"/>
          <w:lang w:val="uk-UA" w:eastAsia="ru-RU"/>
        </w:rPr>
        <w:t>проєкт</w:t>
      </w:r>
      <w:proofErr w:type="spellEnd"/>
      <w:r w:rsidR="00E50B15">
        <w:rPr>
          <w:rFonts w:eastAsia="Times New Roman"/>
          <w:bCs/>
          <w:sz w:val="26"/>
          <w:szCs w:val="26"/>
          <w:lang w:val="uk-UA" w:eastAsia="ru-RU"/>
        </w:rPr>
        <w:t xml:space="preserve"> </w:t>
      </w:r>
      <w:r w:rsidR="00402C9E" w:rsidRPr="00402C9E">
        <w:rPr>
          <w:rFonts w:eastAsia="Times New Roman"/>
          <w:bCs/>
          <w:sz w:val="26"/>
          <w:szCs w:val="26"/>
          <w:lang w:val="uk-UA" w:eastAsia="ru-RU"/>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009474D8" w:rsidRPr="00C96347">
        <w:rPr>
          <w:rFonts w:eastAsia="Times New Roman"/>
          <w:bCs/>
          <w:sz w:val="26"/>
          <w:szCs w:val="26"/>
          <w:lang w:val="uk-UA" w:eastAsia="ru-RU"/>
        </w:rPr>
        <w:t>.</w:t>
      </w:r>
    </w:p>
    <w:p w:rsidR="00402C9E" w:rsidRPr="00402C9E" w:rsidRDefault="00402C9E" w:rsidP="00402C9E">
      <w:pPr>
        <w:widowControl w:val="0"/>
        <w:tabs>
          <w:tab w:val="left" w:pos="990"/>
        </w:tabs>
        <w:ind w:firstLine="709"/>
        <w:jc w:val="both"/>
        <w:rPr>
          <w:rFonts w:eastAsia="Times New Roman"/>
          <w:bCs/>
          <w:sz w:val="26"/>
          <w:szCs w:val="26"/>
          <w:lang w:val="uk-UA" w:eastAsia="ru-RU"/>
        </w:rPr>
      </w:pPr>
      <w:proofErr w:type="spellStart"/>
      <w:r w:rsidRPr="00402C9E">
        <w:rPr>
          <w:rFonts w:eastAsia="Times New Roman"/>
          <w:bCs/>
          <w:sz w:val="26"/>
          <w:szCs w:val="26"/>
          <w:lang w:val="uk-UA" w:eastAsia="ru-RU"/>
        </w:rPr>
        <w:t>Проєктом</w:t>
      </w:r>
      <w:proofErr w:type="spellEnd"/>
      <w:r w:rsidRPr="00402C9E">
        <w:rPr>
          <w:rFonts w:eastAsia="Times New Roman"/>
          <w:bCs/>
          <w:sz w:val="26"/>
          <w:szCs w:val="26"/>
          <w:lang w:val="uk-UA" w:eastAsia="ru-RU"/>
        </w:rPr>
        <w:t xml:space="preserve"> </w:t>
      </w:r>
      <w:proofErr w:type="spellStart"/>
      <w:r w:rsidRPr="00402C9E">
        <w:rPr>
          <w:rFonts w:eastAsia="Times New Roman"/>
          <w:bCs/>
          <w:sz w:val="26"/>
          <w:szCs w:val="26"/>
          <w:lang w:val="uk-UA" w:eastAsia="ru-RU"/>
        </w:rPr>
        <w:t>акта</w:t>
      </w:r>
      <w:proofErr w:type="spellEnd"/>
      <w:r w:rsidRPr="00402C9E">
        <w:rPr>
          <w:rFonts w:eastAsia="Times New Roman"/>
          <w:bCs/>
          <w:sz w:val="26"/>
          <w:szCs w:val="26"/>
          <w:lang w:val="uk-UA" w:eastAsia="ru-RU"/>
        </w:rPr>
        <w:t xml:space="preserve"> </w:t>
      </w:r>
      <w:r>
        <w:rPr>
          <w:rFonts w:eastAsia="Times New Roman"/>
          <w:bCs/>
          <w:sz w:val="26"/>
          <w:szCs w:val="26"/>
          <w:lang w:val="uk-UA" w:eastAsia="ru-RU"/>
        </w:rPr>
        <w:t xml:space="preserve">пропонується </w:t>
      </w:r>
      <w:proofErr w:type="spellStart"/>
      <w:r w:rsidRPr="00402C9E">
        <w:rPr>
          <w:rFonts w:eastAsia="Times New Roman"/>
          <w:bCs/>
          <w:sz w:val="26"/>
          <w:szCs w:val="26"/>
          <w:lang w:val="uk-UA" w:eastAsia="ru-RU"/>
        </w:rPr>
        <w:t>вн</w:t>
      </w:r>
      <w:r>
        <w:rPr>
          <w:rFonts w:eastAsia="Times New Roman"/>
          <w:bCs/>
          <w:sz w:val="26"/>
          <w:szCs w:val="26"/>
          <w:lang w:val="uk-UA" w:eastAsia="ru-RU"/>
        </w:rPr>
        <w:t>ести</w:t>
      </w:r>
      <w:proofErr w:type="spellEnd"/>
      <w:r w:rsidRPr="00402C9E">
        <w:rPr>
          <w:rFonts w:eastAsia="Times New Roman"/>
          <w:bCs/>
          <w:sz w:val="26"/>
          <w:szCs w:val="26"/>
          <w:lang w:val="uk-UA" w:eastAsia="ru-RU"/>
        </w:rPr>
        <w:t xml:space="preserve"> зміни до Кодексу України про адміністративні правопорушення, які передбачають встановлення адміністративної відповідальності для суб'єктів господарювання за:</w:t>
      </w:r>
    </w:p>
    <w:p w:rsidR="00402C9E" w:rsidRPr="00402C9E" w:rsidRDefault="00402C9E" w:rsidP="00402C9E">
      <w:pPr>
        <w:widowControl w:val="0"/>
        <w:tabs>
          <w:tab w:val="left" w:pos="990"/>
        </w:tabs>
        <w:ind w:firstLine="709"/>
        <w:jc w:val="both"/>
        <w:rPr>
          <w:rFonts w:eastAsia="Times New Roman"/>
          <w:bCs/>
          <w:sz w:val="26"/>
          <w:szCs w:val="26"/>
          <w:lang w:val="uk-UA" w:eastAsia="ru-RU"/>
        </w:rPr>
      </w:pPr>
      <w:r w:rsidRPr="00402C9E">
        <w:rPr>
          <w:rFonts w:eastAsia="Times New Roman"/>
          <w:bCs/>
          <w:sz w:val="26"/>
          <w:szCs w:val="26"/>
          <w:lang w:val="uk-UA" w:eastAsia="ru-RU"/>
        </w:rPr>
        <w:t>буріння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w:t>
      </w:r>
    </w:p>
    <w:p w:rsidR="00402C9E" w:rsidRPr="00402C9E" w:rsidRDefault="00402C9E" w:rsidP="00402C9E">
      <w:pPr>
        <w:widowControl w:val="0"/>
        <w:tabs>
          <w:tab w:val="left" w:pos="990"/>
        </w:tabs>
        <w:ind w:firstLine="709"/>
        <w:jc w:val="both"/>
        <w:rPr>
          <w:rFonts w:eastAsia="Times New Roman"/>
          <w:bCs/>
          <w:sz w:val="26"/>
          <w:szCs w:val="26"/>
          <w:lang w:val="uk-UA" w:eastAsia="ru-RU"/>
        </w:rPr>
      </w:pPr>
      <w:r w:rsidRPr="00402C9E">
        <w:rPr>
          <w:rFonts w:eastAsia="Times New Roman"/>
          <w:bCs/>
          <w:sz w:val="26"/>
          <w:szCs w:val="26"/>
          <w:lang w:val="uk-UA" w:eastAsia="ru-RU"/>
        </w:rPr>
        <w:t>незабезпечення ліквідаційного санітарно-технічного тампонажу свердловин для добування підземних вод після припинення їх експлуатації.</w:t>
      </w:r>
    </w:p>
    <w:p w:rsidR="00484930" w:rsidRDefault="00402C9E" w:rsidP="00402C9E">
      <w:pPr>
        <w:widowControl w:val="0"/>
        <w:tabs>
          <w:tab w:val="left" w:pos="990"/>
        </w:tabs>
        <w:ind w:firstLine="709"/>
        <w:jc w:val="both"/>
        <w:rPr>
          <w:rFonts w:eastAsia="Times New Roman"/>
          <w:bCs/>
          <w:sz w:val="26"/>
          <w:szCs w:val="26"/>
          <w:lang w:val="uk-UA" w:eastAsia="ru-RU"/>
        </w:rPr>
      </w:pPr>
      <w:r w:rsidRPr="00402C9E">
        <w:rPr>
          <w:rFonts w:eastAsia="Times New Roman"/>
          <w:bCs/>
          <w:sz w:val="26"/>
          <w:szCs w:val="26"/>
          <w:lang w:val="uk-UA" w:eastAsia="ru-RU"/>
        </w:rPr>
        <w:t xml:space="preserve">Реалізація положень </w:t>
      </w:r>
      <w:proofErr w:type="spellStart"/>
      <w:r w:rsidRPr="00402C9E">
        <w:rPr>
          <w:rFonts w:eastAsia="Times New Roman"/>
          <w:bCs/>
          <w:sz w:val="26"/>
          <w:szCs w:val="26"/>
          <w:lang w:val="uk-UA" w:eastAsia="ru-RU"/>
        </w:rPr>
        <w:t>проєкту</w:t>
      </w:r>
      <w:proofErr w:type="spellEnd"/>
      <w:r w:rsidRPr="00402C9E">
        <w:rPr>
          <w:rFonts w:eastAsia="Times New Roman"/>
          <w:bCs/>
          <w:sz w:val="26"/>
          <w:szCs w:val="26"/>
          <w:lang w:val="uk-UA" w:eastAsia="ru-RU"/>
        </w:rPr>
        <w:t xml:space="preserve"> </w:t>
      </w:r>
      <w:proofErr w:type="spellStart"/>
      <w:r w:rsidRPr="00402C9E">
        <w:rPr>
          <w:rFonts w:eastAsia="Times New Roman"/>
          <w:bCs/>
          <w:sz w:val="26"/>
          <w:szCs w:val="26"/>
          <w:lang w:val="uk-UA" w:eastAsia="ru-RU"/>
        </w:rPr>
        <w:t>акта</w:t>
      </w:r>
      <w:proofErr w:type="spellEnd"/>
      <w:r w:rsidRPr="00402C9E">
        <w:rPr>
          <w:rFonts w:eastAsia="Times New Roman"/>
          <w:bCs/>
          <w:sz w:val="26"/>
          <w:szCs w:val="26"/>
          <w:lang w:val="uk-UA" w:eastAsia="ru-RU"/>
        </w:rPr>
        <w:t xml:space="preserve"> передбачається шляхом запровадження нового виду ліцензійної діяльності, а саме – буріння свердловин для добування підземних вод та їх ліквідація та/або тампонування, подання відповідних даних до Державного реєстру артезіанських свердловин, облаштування свердловин засобами обліку та проведення обов’язкової сертифікації та/або повірки таких засобів обліку, відповідного обліку даних про пробурені та ліквідовані та/або </w:t>
      </w:r>
      <w:proofErr w:type="spellStart"/>
      <w:r w:rsidRPr="00402C9E">
        <w:rPr>
          <w:rFonts w:eastAsia="Times New Roman"/>
          <w:bCs/>
          <w:sz w:val="26"/>
          <w:szCs w:val="26"/>
          <w:lang w:val="uk-UA" w:eastAsia="ru-RU"/>
        </w:rPr>
        <w:t>затампоновані</w:t>
      </w:r>
      <w:proofErr w:type="spellEnd"/>
      <w:r w:rsidRPr="00402C9E">
        <w:rPr>
          <w:rFonts w:eastAsia="Times New Roman"/>
          <w:bCs/>
          <w:sz w:val="26"/>
          <w:szCs w:val="26"/>
          <w:lang w:val="uk-UA" w:eastAsia="ru-RU"/>
        </w:rPr>
        <w:t xml:space="preserve"> свердловини.</w:t>
      </w:r>
    </w:p>
    <w:p w:rsidR="00402C9E" w:rsidRPr="00C96347" w:rsidRDefault="00402C9E" w:rsidP="00402C9E">
      <w:pPr>
        <w:widowControl w:val="0"/>
        <w:tabs>
          <w:tab w:val="left" w:pos="990"/>
        </w:tabs>
        <w:ind w:firstLine="709"/>
        <w:jc w:val="both"/>
        <w:rPr>
          <w:rFonts w:eastAsia="Times New Roman"/>
          <w:bCs/>
          <w:sz w:val="26"/>
          <w:szCs w:val="26"/>
          <w:lang w:val="uk-UA" w:eastAsia="ru-RU"/>
        </w:rPr>
      </w:pPr>
    </w:p>
    <w:p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rsidR="00DC7B07" w:rsidRPr="00C96347" w:rsidRDefault="00DC7B07" w:rsidP="00FA7487">
      <w:pPr>
        <w:widowControl w:val="0"/>
        <w:tabs>
          <w:tab w:val="left" w:pos="990"/>
        </w:tabs>
        <w:ind w:left="270" w:firstLine="770"/>
        <w:jc w:val="both"/>
        <w:rPr>
          <w:rFonts w:eastAsia="Times New Roman"/>
          <w:sz w:val="26"/>
          <w:szCs w:val="26"/>
          <w:lang w:val="uk-UA" w:eastAsia="ru-RU"/>
        </w:rPr>
      </w:pP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rsidR="00B26672" w:rsidRDefault="00B26672" w:rsidP="00FA7487">
      <w:pPr>
        <w:widowControl w:val="0"/>
        <w:tabs>
          <w:tab w:val="left" w:pos="990"/>
        </w:tabs>
        <w:spacing w:before="120" w:after="120"/>
        <w:ind w:firstLine="978"/>
        <w:jc w:val="center"/>
        <w:rPr>
          <w:rFonts w:eastAsia="Arial Unicode MS"/>
          <w:b/>
          <w:bCs/>
          <w:color w:val="000000"/>
          <w:sz w:val="26"/>
          <w:szCs w:val="26"/>
          <w:lang w:val="uk-UA" w:eastAsia="ru-RU"/>
        </w:rPr>
      </w:pPr>
    </w:p>
    <w:p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lastRenderedPageBreak/>
        <w:t>ІІ. Цілі державного регулювання</w:t>
      </w:r>
    </w:p>
    <w:p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 xml:space="preserve">забезпечення </w:t>
      </w:r>
      <w:r w:rsidR="00B26672">
        <w:rPr>
          <w:rFonts w:eastAsia="Calibri"/>
          <w:color w:val="000000"/>
          <w:sz w:val="26"/>
          <w:szCs w:val="26"/>
          <w:lang w:val="uk-UA" w:eastAsia="en-US"/>
        </w:rPr>
        <w:t>ресурсозбереження</w:t>
      </w:r>
      <w:r w:rsidR="00B43339">
        <w:rPr>
          <w:rFonts w:eastAsia="Calibri"/>
          <w:color w:val="000000"/>
          <w:sz w:val="26"/>
          <w:szCs w:val="26"/>
          <w:lang w:val="uk-UA" w:eastAsia="en-US"/>
        </w:rPr>
        <w:t xml:space="preserve"> та </w:t>
      </w:r>
      <w:r w:rsidR="00B26672" w:rsidRPr="00B26672">
        <w:rPr>
          <w:rFonts w:eastAsia="Calibri"/>
          <w:color w:val="000000"/>
          <w:sz w:val="26"/>
          <w:szCs w:val="26"/>
          <w:lang w:val="uk-UA" w:eastAsia="en-US"/>
        </w:rPr>
        <w:t>збалансованого водокористування</w:t>
      </w:r>
      <w:r w:rsidR="003756B5" w:rsidRPr="00C96347">
        <w:rPr>
          <w:rFonts w:eastAsia="Calibri"/>
          <w:color w:val="000000"/>
          <w:sz w:val="26"/>
          <w:szCs w:val="26"/>
          <w:lang w:val="uk-UA" w:eastAsia="en-US"/>
        </w:rPr>
        <w:t>;</w:t>
      </w:r>
    </w:p>
    <w:p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B43339" w:rsidRPr="00B43339">
        <w:rPr>
          <w:rFonts w:eastAsia="Calibri"/>
          <w:color w:val="000000"/>
          <w:sz w:val="26"/>
          <w:szCs w:val="26"/>
          <w:lang w:val="uk-UA" w:eastAsia="en-US"/>
        </w:rPr>
        <w:t>підвищення рівня</w:t>
      </w:r>
      <w:r w:rsidR="00B43339">
        <w:rPr>
          <w:rFonts w:eastAsia="Calibri"/>
          <w:color w:val="000000"/>
          <w:sz w:val="26"/>
          <w:szCs w:val="26"/>
          <w:lang w:val="uk-UA" w:eastAsia="en-US"/>
        </w:rPr>
        <w:t xml:space="preserve"> </w:t>
      </w:r>
      <w:r w:rsidR="00B43339" w:rsidRPr="00B43339">
        <w:rPr>
          <w:rFonts w:eastAsia="Calibri"/>
          <w:color w:val="000000"/>
          <w:sz w:val="26"/>
          <w:szCs w:val="26"/>
          <w:lang w:val="uk-UA" w:eastAsia="en-US"/>
        </w:rPr>
        <w:t>водної безпеки держави</w:t>
      </w:r>
      <w:r w:rsidR="005952E8" w:rsidRPr="00C96347">
        <w:rPr>
          <w:rFonts w:eastAsia="Calibri"/>
          <w:color w:val="000000"/>
          <w:sz w:val="26"/>
          <w:szCs w:val="26"/>
          <w:lang w:val="uk-UA" w:eastAsia="en-US"/>
        </w:rPr>
        <w:t>;</w:t>
      </w:r>
    </w:p>
    <w:p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090D7E" w:rsidRPr="00090D7E">
        <w:rPr>
          <w:rFonts w:eastAsia="Calibri"/>
          <w:sz w:val="26"/>
          <w:szCs w:val="26"/>
          <w:lang w:val="uk-UA" w:eastAsia="en-US"/>
        </w:rPr>
        <w:t>п</w:t>
      </w:r>
      <w:r w:rsidR="00881669">
        <w:rPr>
          <w:rFonts w:eastAsia="Calibri"/>
          <w:sz w:val="26"/>
          <w:szCs w:val="26"/>
          <w:lang w:val="uk-UA" w:eastAsia="en-US"/>
        </w:rPr>
        <w:t>осилення</w:t>
      </w:r>
      <w:r w:rsidR="00090D7E" w:rsidRPr="00090D7E">
        <w:rPr>
          <w:rFonts w:eastAsia="Calibri"/>
          <w:sz w:val="26"/>
          <w:szCs w:val="26"/>
          <w:lang w:val="uk-UA" w:eastAsia="en-US"/>
        </w:rPr>
        <w:t xml:space="preserve"> відповідальності у секторі водопостачання</w:t>
      </w:r>
      <w:r w:rsidR="00591DCD" w:rsidRPr="00090D7E">
        <w:rPr>
          <w:rFonts w:eastAsia="Calibri"/>
          <w:sz w:val="26"/>
          <w:szCs w:val="26"/>
          <w:lang w:val="uk-UA" w:eastAsia="en-US"/>
        </w:rPr>
        <w:t>;</w:t>
      </w:r>
    </w:p>
    <w:p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ливості сфери</w:t>
      </w:r>
      <w:r w:rsidR="00B26672">
        <w:rPr>
          <w:rFonts w:eastAsia="Calibri"/>
          <w:color w:val="000000"/>
          <w:sz w:val="26"/>
          <w:szCs w:val="26"/>
          <w:lang w:val="uk-UA" w:eastAsia="en-US"/>
        </w:rPr>
        <w:t xml:space="preserve"> </w:t>
      </w:r>
      <w:r w:rsidR="00B26672" w:rsidRPr="00B26672">
        <w:rPr>
          <w:rFonts w:eastAsia="Calibri"/>
          <w:color w:val="000000"/>
          <w:sz w:val="26"/>
          <w:szCs w:val="26"/>
          <w:lang w:val="uk-UA" w:eastAsia="en-US"/>
        </w:rPr>
        <w:t>водопостачання</w:t>
      </w:r>
      <w:r w:rsidRPr="00C96347">
        <w:rPr>
          <w:rFonts w:eastAsia="Calibri"/>
          <w:color w:val="000000"/>
          <w:sz w:val="26"/>
          <w:szCs w:val="26"/>
          <w:lang w:val="uk-UA" w:eastAsia="en-US"/>
        </w:rPr>
        <w:t>;</w:t>
      </w:r>
    </w:p>
    <w:p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B26672">
        <w:rPr>
          <w:rFonts w:eastAsia="Calibri"/>
          <w:color w:val="000000"/>
          <w:sz w:val="26"/>
          <w:szCs w:val="26"/>
          <w:lang w:val="uk-UA" w:eastAsia="en-US"/>
        </w:rPr>
        <w:t>п</w:t>
      </w:r>
      <w:r w:rsidR="00B26672" w:rsidRPr="00B26672">
        <w:rPr>
          <w:rFonts w:eastAsia="Calibri"/>
          <w:color w:val="000000"/>
          <w:sz w:val="26"/>
          <w:szCs w:val="26"/>
          <w:lang w:val="uk-UA" w:eastAsia="en-US"/>
        </w:rPr>
        <w:t>ідвищення прозорості у секторі водопостачання</w:t>
      </w:r>
      <w:r w:rsidR="00A2632A" w:rsidRPr="00C96347">
        <w:rPr>
          <w:rFonts w:eastAsia="Calibri"/>
          <w:color w:val="000000"/>
          <w:sz w:val="26"/>
          <w:szCs w:val="26"/>
          <w:lang w:val="uk-UA" w:eastAsia="en-US"/>
        </w:rPr>
        <w:t>.</w:t>
      </w:r>
    </w:p>
    <w:p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rsidR="00853FD4" w:rsidRPr="00C96347" w:rsidRDefault="00853FD4" w:rsidP="00FA7487">
      <w:pPr>
        <w:widowControl w:val="0"/>
        <w:tabs>
          <w:tab w:val="left" w:pos="990"/>
        </w:tabs>
        <w:ind w:left="270" w:firstLine="660"/>
        <w:rPr>
          <w:rFonts w:eastAsia="Times New Roman"/>
          <w:b/>
          <w:sz w:val="16"/>
          <w:szCs w:val="16"/>
          <w:lang w:val="uk-UA" w:eastAsia="ru-RU"/>
        </w:rPr>
      </w:pPr>
    </w:p>
    <w:p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rsidTr="00853FD4">
        <w:tc>
          <w:tcPr>
            <w:tcW w:w="395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071A58"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rsidR="005D3CD5" w:rsidRPr="00C96347" w:rsidRDefault="005D3CD5" w:rsidP="00667FAA">
            <w:pPr>
              <w:widowControl w:val="0"/>
              <w:tabs>
                <w:tab w:val="left" w:pos="990"/>
              </w:tabs>
              <w:spacing w:after="120"/>
              <w:ind w:left="270"/>
              <w:jc w:val="both"/>
              <w:rPr>
                <w:sz w:val="26"/>
                <w:szCs w:val="26"/>
                <w:lang w:val="uk-UA"/>
              </w:rPr>
            </w:pPr>
          </w:p>
        </w:tc>
        <w:tc>
          <w:tcPr>
            <w:tcW w:w="5230" w:type="dxa"/>
          </w:tcPr>
          <w:p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E50B15" w:rsidRPr="00E50B15">
              <w:rPr>
                <w:sz w:val="26"/>
                <w:szCs w:val="26"/>
                <w:lang w:val="uk-UA"/>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Pr>
                <w:sz w:val="26"/>
                <w:szCs w:val="26"/>
                <w:lang w:val="uk-UA"/>
              </w:rPr>
              <w:t>.</w:t>
            </w:r>
          </w:p>
          <w:p w:rsidR="00B70223" w:rsidRPr="00E50B15" w:rsidRDefault="008E50CF" w:rsidP="00E50B15">
            <w:pPr>
              <w:pStyle w:val="rvps2"/>
              <w:spacing w:after="150"/>
              <w:ind w:left="312"/>
              <w:jc w:val="both"/>
              <w:rPr>
                <w:rFonts w:eastAsia="MS Mincho"/>
                <w:sz w:val="26"/>
                <w:szCs w:val="26"/>
                <w:lang w:val="uk-UA" w:eastAsia="ja-JP"/>
              </w:rPr>
            </w:pPr>
            <w:r w:rsidRPr="00C96347">
              <w:rPr>
                <w:sz w:val="26"/>
                <w:szCs w:val="26"/>
                <w:lang w:val="uk-UA"/>
              </w:rPr>
              <w:t xml:space="preserve">Внесення змін </w:t>
            </w:r>
            <w:r w:rsidR="00E50B15" w:rsidRPr="00E50B15">
              <w:rPr>
                <w:rFonts w:eastAsia="MS Mincho"/>
                <w:sz w:val="26"/>
                <w:szCs w:val="26"/>
                <w:lang w:val="uk-UA" w:eastAsia="ja-JP"/>
              </w:rPr>
              <w:t>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Pr="00C96347">
              <w:rPr>
                <w:rFonts w:eastAsia="MS Mincho"/>
                <w:sz w:val="26"/>
                <w:szCs w:val="26"/>
                <w:lang w:val="uk-UA" w:eastAsia="ja-JP"/>
              </w:rPr>
              <w:t xml:space="preserve"> забезпечить </w:t>
            </w:r>
            <w:r w:rsidR="00E50B15" w:rsidRPr="00E50B15">
              <w:rPr>
                <w:rFonts w:eastAsia="MS Mincho"/>
                <w:sz w:val="26"/>
                <w:szCs w:val="26"/>
                <w:lang w:val="uk-UA" w:eastAsia="ja-JP"/>
              </w:rPr>
              <w:t>підвищення якості робіт з проведення буріння свердлов</w:t>
            </w:r>
            <w:r w:rsidR="00E50B15">
              <w:rPr>
                <w:rFonts w:eastAsia="MS Mincho"/>
                <w:sz w:val="26"/>
                <w:szCs w:val="26"/>
                <w:lang w:val="uk-UA" w:eastAsia="ja-JP"/>
              </w:rPr>
              <w:t xml:space="preserve">ин для добування підземних вод; </w:t>
            </w:r>
            <w:r w:rsidR="00E50B15" w:rsidRPr="00E50B15">
              <w:rPr>
                <w:rFonts w:eastAsia="MS Mincho"/>
                <w:sz w:val="26"/>
                <w:szCs w:val="26"/>
                <w:lang w:val="uk-UA" w:eastAsia="ja-JP"/>
              </w:rPr>
              <w:t>належний ліквідаційний санітарно-технічний тампонаж таких свердловин пі</w:t>
            </w:r>
            <w:r w:rsidR="00E50B15">
              <w:rPr>
                <w:rFonts w:eastAsia="MS Mincho"/>
                <w:sz w:val="26"/>
                <w:szCs w:val="26"/>
                <w:lang w:val="uk-UA" w:eastAsia="ja-JP"/>
              </w:rPr>
              <w:t xml:space="preserve">сля припинення їх експлуатації; </w:t>
            </w:r>
            <w:r w:rsidR="00E50B15" w:rsidRPr="00E50B15">
              <w:rPr>
                <w:rFonts w:eastAsia="MS Mincho"/>
                <w:sz w:val="26"/>
                <w:szCs w:val="26"/>
                <w:lang w:val="uk-UA" w:eastAsia="ja-JP"/>
              </w:rPr>
              <w:t xml:space="preserve">можливість подання відповідними суб'єктами господарювання, які виконуватимуть роботи з буріння, ліквідації та/або тампонування, даних про пробурені свердловини для добування підземних вод до Державного реєстру артезіанських свердловин, що у свою чергу забезпечить наявність необхідних </w:t>
            </w:r>
            <w:r w:rsidR="00E50B15" w:rsidRPr="00E50B15">
              <w:rPr>
                <w:rFonts w:eastAsia="MS Mincho"/>
                <w:sz w:val="26"/>
                <w:szCs w:val="26"/>
                <w:lang w:val="uk-UA" w:eastAsia="ja-JP"/>
              </w:rPr>
              <w:lastRenderedPageBreak/>
              <w:t>даних про водозабірні споруди на території держави</w:t>
            </w:r>
            <w:r w:rsidRPr="00C96347">
              <w:rPr>
                <w:rFonts w:eastAsia="MS Mincho"/>
                <w:sz w:val="26"/>
                <w:szCs w:val="26"/>
                <w:lang w:val="uk-UA" w:eastAsia="ja-JP"/>
              </w:rPr>
              <w:t>.</w:t>
            </w:r>
          </w:p>
        </w:tc>
      </w:tr>
    </w:tbl>
    <w:bookmarkEnd w:id="0"/>
    <w:p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rsidTr="00770F12">
        <w:tc>
          <w:tcPr>
            <w:tcW w:w="2430" w:type="dxa"/>
          </w:tcPr>
          <w:p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6A3C2B" w:rsidTr="00770F12">
        <w:tc>
          <w:tcPr>
            <w:tcW w:w="2430" w:type="dxa"/>
          </w:tcPr>
          <w:p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rsidR="00B45FDC" w:rsidRPr="00C96347" w:rsidRDefault="001611ED"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Неналежне виконання рішен</w:t>
            </w:r>
            <w:r w:rsidR="00465853">
              <w:rPr>
                <w:rFonts w:eastAsia="Times New Roman"/>
                <w:bCs/>
                <w:sz w:val="26"/>
                <w:szCs w:val="26"/>
                <w:lang w:val="uk-UA" w:eastAsia="uk-UA"/>
              </w:rPr>
              <w:t>ь</w:t>
            </w:r>
            <w:r w:rsidRPr="001611ED">
              <w:rPr>
                <w:rFonts w:eastAsia="Times New Roman"/>
                <w:bCs/>
                <w:sz w:val="26"/>
                <w:szCs w:val="26"/>
                <w:lang w:val="uk-UA" w:eastAsia="uk-UA"/>
              </w:rPr>
              <w:t xml:space="preserve"> РНБО щодо </w:t>
            </w:r>
            <w:r w:rsidR="00465853" w:rsidRPr="00465853">
              <w:rPr>
                <w:rFonts w:eastAsia="Times New Roman"/>
                <w:bCs/>
                <w:sz w:val="26"/>
                <w:szCs w:val="26"/>
                <w:lang w:val="uk-UA" w:eastAsia="uk-UA"/>
              </w:rPr>
              <w:t>забезпечення водної безпеки держави</w:t>
            </w:r>
            <w:r w:rsidR="00465853">
              <w:rPr>
                <w:rFonts w:eastAsia="Times New Roman"/>
                <w:bCs/>
                <w:sz w:val="26"/>
                <w:szCs w:val="26"/>
                <w:lang w:val="uk-UA" w:eastAsia="uk-UA"/>
              </w:rPr>
              <w:t xml:space="preserve">, ресурсозбереження, </w:t>
            </w:r>
            <w:r w:rsidR="00465853" w:rsidRPr="00465853">
              <w:rPr>
                <w:rFonts w:eastAsia="Times New Roman"/>
                <w:bCs/>
                <w:sz w:val="26"/>
                <w:szCs w:val="26"/>
                <w:lang w:val="uk-UA" w:eastAsia="uk-UA"/>
              </w:rPr>
              <w:t xml:space="preserve">збалансованого </w:t>
            </w:r>
            <w:r w:rsidR="00465853">
              <w:rPr>
                <w:rFonts w:eastAsia="Times New Roman"/>
                <w:bCs/>
                <w:sz w:val="26"/>
                <w:szCs w:val="26"/>
                <w:lang w:val="uk-UA" w:eastAsia="uk-UA"/>
              </w:rPr>
              <w:t>водокористування.</w:t>
            </w:r>
          </w:p>
        </w:tc>
      </w:tr>
      <w:tr w:rsidR="00A01622" w:rsidRPr="00C96347" w:rsidTr="00770F12">
        <w:tc>
          <w:tcPr>
            <w:tcW w:w="2430" w:type="dxa"/>
          </w:tcPr>
          <w:p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Забезпечення </w:t>
            </w:r>
            <w:r w:rsidR="00E507CC" w:rsidRPr="00E507CC">
              <w:rPr>
                <w:rFonts w:eastAsia="Times New Roman"/>
                <w:sz w:val="26"/>
                <w:szCs w:val="26"/>
                <w:lang w:val="uk-UA" w:eastAsia="ru-RU"/>
              </w:rPr>
              <w:t>ресурсозбереження та збалансованого водокористування</w:t>
            </w:r>
            <w:r w:rsidRPr="00C96347">
              <w:rPr>
                <w:rFonts w:eastAsia="Times New Roman"/>
                <w:sz w:val="26"/>
                <w:szCs w:val="26"/>
                <w:lang w:val="uk-UA" w:eastAsia="ru-RU"/>
              </w:rPr>
              <w:t>.</w:t>
            </w:r>
          </w:p>
          <w:p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Захист національних інтересів держави в </w:t>
            </w:r>
            <w:r w:rsidR="00E507CC">
              <w:rPr>
                <w:rFonts w:eastAsia="Times New Roman"/>
                <w:sz w:val="26"/>
                <w:szCs w:val="26"/>
                <w:lang w:val="uk-UA" w:eastAsia="ru-RU"/>
              </w:rPr>
              <w:t>екологічній</w:t>
            </w:r>
            <w:r w:rsidRPr="00C96347">
              <w:rPr>
                <w:rFonts w:eastAsia="Times New Roman"/>
                <w:sz w:val="26"/>
                <w:szCs w:val="26"/>
                <w:lang w:val="uk-UA" w:eastAsia="ru-RU"/>
              </w:rPr>
              <w:t xml:space="preserve"> сфері</w:t>
            </w:r>
            <w:r w:rsidR="0038177C" w:rsidRPr="00C96347">
              <w:rPr>
                <w:rFonts w:eastAsia="Times New Roman"/>
                <w:sz w:val="26"/>
                <w:szCs w:val="26"/>
                <w:lang w:val="uk-UA" w:eastAsia="ru-RU"/>
              </w:rPr>
              <w:t>.</w:t>
            </w:r>
          </w:p>
          <w:p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Підтримка на належному рівні </w:t>
            </w:r>
            <w:r w:rsidR="00E507CC">
              <w:rPr>
                <w:rFonts w:eastAsia="Times New Roman"/>
                <w:sz w:val="26"/>
                <w:szCs w:val="26"/>
                <w:lang w:val="uk-UA" w:eastAsia="ru-RU"/>
              </w:rPr>
              <w:t>водної безпеки держави</w:t>
            </w:r>
            <w:r w:rsidR="004027A9" w:rsidRPr="00C96347">
              <w:rPr>
                <w:rFonts w:eastAsia="Times New Roman"/>
                <w:sz w:val="26"/>
                <w:szCs w:val="26"/>
                <w:lang w:val="uk-UA" w:eastAsia="ru-RU"/>
              </w:rPr>
              <w:t>.</w:t>
            </w:r>
          </w:p>
          <w:p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rsidR="00B45FDC" w:rsidRPr="00C96347" w:rsidRDefault="00B45FDC" w:rsidP="00FA7487">
      <w:pPr>
        <w:widowControl w:val="0"/>
        <w:tabs>
          <w:tab w:val="left" w:pos="990"/>
        </w:tabs>
        <w:ind w:left="270" w:firstLine="2"/>
        <w:rPr>
          <w:rFonts w:eastAsia="Times New Roman"/>
          <w:sz w:val="16"/>
          <w:szCs w:val="16"/>
          <w:lang w:val="uk-UA" w:eastAsia="ru-RU"/>
        </w:rPr>
      </w:pPr>
    </w:p>
    <w:p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rsidTr="0056058F">
        <w:tc>
          <w:tcPr>
            <w:tcW w:w="2448"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rsidTr="00A01622">
        <w:tc>
          <w:tcPr>
            <w:tcW w:w="2385" w:type="dxa"/>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lastRenderedPageBreak/>
              <w:t>Питома вага групи у загальній кількості, відсотків</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669"/>
        <w:gridCol w:w="3022"/>
      </w:tblGrid>
      <w:tr w:rsidR="00913FF1" w:rsidRPr="00C96347" w:rsidTr="00052585">
        <w:trPr>
          <w:trHeight w:val="20"/>
        </w:trPr>
        <w:tc>
          <w:tcPr>
            <w:tcW w:w="2485" w:type="dxa"/>
          </w:tcPr>
          <w:p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C96347" w:rsidTr="00052585">
        <w:trPr>
          <w:trHeight w:val="20"/>
        </w:trPr>
        <w:tc>
          <w:tcPr>
            <w:tcW w:w="2485" w:type="dxa"/>
          </w:tcPr>
          <w:p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rsidR="0018206D" w:rsidRPr="00C96347" w:rsidRDefault="002A31B3"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Витрати залишаться на існуючому рівні.</w:t>
            </w:r>
          </w:p>
        </w:tc>
      </w:tr>
      <w:tr w:rsidR="007C624B" w:rsidRPr="00C96347" w:rsidTr="00052585">
        <w:trPr>
          <w:trHeight w:val="20"/>
        </w:trPr>
        <w:tc>
          <w:tcPr>
            <w:tcW w:w="2485" w:type="dxa"/>
          </w:tcPr>
          <w:p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6D3492" w:rsidRPr="006D3492">
              <w:rPr>
                <w:rFonts w:eastAsia="Times New Roman"/>
                <w:bCs/>
                <w:color w:val="000000"/>
                <w:sz w:val="26"/>
                <w:szCs w:val="26"/>
                <w:lang w:val="uk-UA" w:eastAsia="ru-RU"/>
              </w:rPr>
              <w:t>у секторі водопостачання</w:t>
            </w:r>
            <w:r w:rsidR="009A70C7" w:rsidRPr="00C96347">
              <w:rPr>
                <w:rFonts w:eastAsia="Times New Roman"/>
                <w:bCs/>
                <w:color w:val="000000"/>
                <w:sz w:val="26"/>
                <w:szCs w:val="26"/>
                <w:lang w:val="uk-UA" w:eastAsia="ru-RU"/>
              </w:rPr>
              <w:t>.</w:t>
            </w:r>
          </w:p>
          <w:p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ідвищення інвестиційної привабливості сфери водопостачання</w:t>
            </w:r>
            <w:r w:rsidR="000F6A44">
              <w:rPr>
                <w:rFonts w:eastAsia="Times New Roman"/>
                <w:bCs/>
                <w:color w:val="000000"/>
                <w:sz w:val="26"/>
                <w:szCs w:val="26"/>
                <w:lang w:val="uk-UA" w:eastAsia="ru-RU"/>
              </w:rPr>
              <w:t>.</w:t>
            </w:r>
          </w:p>
        </w:tc>
        <w:tc>
          <w:tcPr>
            <w:tcW w:w="3065" w:type="dxa"/>
          </w:tcPr>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1" w:name="_Hlk16164988"/>
    </w:p>
    <w:p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rsidR="00D068F4" w:rsidRPr="00C96347" w:rsidRDefault="00D068F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410C85">
        <w:rPr>
          <w:rFonts w:eastAsia="Times New Roman"/>
          <w:sz w:val="26"/>
          <w:szCs w:val="26"/>
          <w:lang w:val="uk-UA" w:eastAsia="ru-RU"/>
        </w:rPr>
        <w:t xml:space="preserve">з </w:t>
      </w:r>
      <w:r w:rsidR="00071A58" w:rsidRPr="00410C85">
        <w:rPr>
          <w:rFonts w:eastAsia="Times New Roman"/>
          <w:sz w:val="26"/>
          <w:szCs w:val="26"/>
          <w:lang w:val="uk-UA" w:eastAsia="ru-RU"/>
        </w:rPr>
        <w:t>17</w:t>
      </w:r>
      <w:r w:rsidR="003C470B" w:rsidRPr="00410C85">
        <w:rPr>
          <w:rFonts w:eastAsia="Times New Roman"/>
          <w:sz w:val="26"/>
          <w:szCs w:val="26"/>
          <w:lang w:val="uk-UA" w:eastAsia="ru-RU"/>
        </w:rPr>
        <w:t>.</w:t>
      </w:r>
      <w:r w:rsidR="00071A58" w:rsidRPr="00410C85">
        <w:rPr>
          <w:rFonts w:eastAsia="Times New Roman"/>
          <w:sz w:val="26"/>
          <w:szCs w:val="26"/>
          <w:lang w:val="uk-UA" w:eastAsia="ru-RU"/>
        </w:rPr>
        <w:t>01</w:t>
      </w:r>
      <w:r w:rsidR="00176DD3" w:rsidRPr="00410C85">
        <w:rPr>
          <w:rFonts w:eastAsia="Times New Roman"/>
          <w:sz w:val="26"/>
          <w:szCs w:val="26"/>
          <w:lang w:val="uk-UA" w:eastAsia="ru-RU"/>
        </w:rPr>
        <w:t>.20</w:t>
      </w:r>
      <w:r w:rsidR="009827C4" w:rsidRPr="00410C85">
        <w:rPr>
          <w:rFonts w:eastAsia="Times New Roman"/>
          <w:sz w:val="26"/>
          <w:szCs w:val="26"/>
          <w:lang w:val="uk-UA" w:eastAsia="ru-RU"/>
        </w:rPr>
        <w:t>2</w:t>
      </w:r>
      <w:r w:rsidR="00071A58" w:rsidRPr="00410C85">
        <w:rPr>
          <w:rFonts w:eastAsia="Times New Roman"/>
          <w:sz w:val="26"/>
          <w:szCs w:val="26"/>
          <w:lang w:val="uk-UA" w:eastAsia="ru-RU"/>
        </w:rPr>
        <w:t>2</w:t>
      </w:r>
      <w:r w:rsidRPr="00410C85">
        <w:rPr>
          <w:rFonts w:eastAsia="Times New Roman"/>
          <w:sz w:val="26"/>
          <w:szCs w:val="26"/>
          <w:lang w:val="uk-UA" w:eastAsia="ru-RU"/>
        </w:rPr>
        <w:t xml:space="preserve"> по </w:t>
      </w:r>
      <w:r w:rsidR="00071A58" w:rsidRPr="00410C85">
        <w:rPr>
          <w:rFonts w:eastAsia="Times New Roman"/>
          <w:sz w:val="26"/>
          <w:szCs w:val="26"/>
          <w:lang w:val="uk-UA" w:eastAsia="ru-RU"/>
        </w:rPr>
        <w:t>28</w:t>
      </w:r>
      <w:r w:rsidR="003C470B" w:rsidRPr="00410C85">
        <w:rPr>
          <w:rFonts w:eastAsia="Times New Roman"/>
          <w:sz w:val="26"/>
          <w:szCs w:val="26"/>
          <w:lang w:val="uk-UA" w:eastAsia="ru-RU"/>
        </w:rPr>
        <w:t>.</w:t>
      </w:r>
      <w:r w:rsidR="00071A58" w:rsidRPr="00410C85">
        <w:rPr>
          <w:rFonts w:eastAsia="Times New Roman"/>
          <w:sz w:val="26"/>
          <w:szCs w:val="26"/>
          <w:lang w:val="uk-UA" w:eastAsia="ru-RU"/>
        </w:rPr>
        <w:t>01.2022</w:t>
      </w:r>
      <w:r w:rsidRPr="00410C85">
        <w:rPr>
          <w:rFonts w:eastAsia="Times New Roman"/>
          <w:sz w:val="26"/>
          <w:szCs w:val="26"/>
          <w:lang w:val="uk-UA" w:eastAsia="ru-RU"/>
        </w:rPr>
        <w:t>.</w:t>
      </w:r>
    </w:p>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rsidTr="002A31B3">
        <w:tc>
          <w:tcPr>
            <w:tcW w:w="1384"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rsidTr="002A31B3">
        <w:tc>
          <w:tcPr>
            <w:tcW w:w="1384"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 xml:space="preserve">знайомитися з новими </w:t>
            </w:r>
            <w:r w:rsidR="008C6056" w:rsidRPr="00C96347">
              <w:rPr>
                <w:rFonts w:eastAsia="Times New Roman"/>
                <w:bCs/>
                <w:sz w:val="26"/>
                <w:szCs w:val="26"/>
                <w:lang w:val="uk-UA" w:eastAsia="ru-RU"/>
              </w:rPr>
              <w:lastRenderedPageBreak/>
              <w:t>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rsidR="00516C4D" w:rsidRDefault="00C220D3"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рік», </w:t>
      </w:r>
      <w:r w:rsidR="00FF346E" w:rsidRPr="00FF346E">
        <w:rPr>
          <w:rFonts w:eastAsia="Times New Roman"/>
          <w:sz w:val="26"/>
          <w:szCs w:val="26"/>
          <w:lang w:val="uk-UA" w:eastAsia="ru-RU"/>
        </w:rPr>
        <w:t>з 1 січня 2022 року становить – 39,26 гривні.</w:t>
      </w:r>
      <w:r w:rsidR="00516C4D" w:rsidRPr="00516C4D">
        <w:rPr>
          <w:rFonts w:eastAsia="Times New Roman"/>
          <w:sz w:val="26"/>
          <w:szCs w:val="26"/>
          <w:lang w:val="uk-UA" w:eastAsia="ru-RU"/>
        </w:rPr>
        <w:t xml:space="preserve">  </w:t>
      </w:r>
    </w:p>
    <w:p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410C85" w:rsidRPr="00410C85">
        <w:rPr>
          <w:sz w:val="26"/>
          <w:szCs w:val="26"/>
          <w:lang w:val="uk-UA"/>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rsidTr="00A05264">
        <w:tc>
          <w:tcPr>
            <w:tcW w:w="99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rsidTr="00C07ECB">
        <w:tc>
          <w:tcPr>
            <w:tcW w:w="9540" w:type="dxa"/>
            <w:gridSpan w:val="9"/>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 xml:space="preserve">Процедури експлуатації обладнання </w:t>
            </w:r>
            <w:r w:rsidRPr="00C96347">
              <w:rPr>
                <w:rFonts w:eastAsia="Times New Roman"/>
                <w:sz w:val="26"/>
                <w:szCs w:val="26"/>
                <w:lang w:val="uk-UA" w:eastAsia="ru-RU"/>
              </w:rPr>
              <w:lastRenderedPageBreak/>
              <w:t>(експлуатаційн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rPr>
          <w:trHeight w:val="840"/>
        </w:trPr>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rsidTr="0049181B">
        <w:tc>
          <w:tcPr>
            <w:tcW w:w="9540" w:type="dxa"/>
            <w:gridSpan w:val="9"/>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D9710C" w:rsidRPr="00D9710C" w:rsidRDefault="00052585" w:rsidP="00D9710C">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w:t>
            </w:r>
            <w:r w:rsidR="00692C0F" w:rsidRPr="00C96347">
              <w:rPr>
                <w:rFonts w:eastAsia="Times New Roman"/>
                <w:sz w:val="26"/>
                <w:szCs w:val="26"/>
                <w:lang w:val="uk-UA" w:eastAsia="ru-RU"/>
              </w:rPr>
              <w:t xml:space="preserve"> год. (час, який витрачається с/г на пошук нормативно-правового акту в мережі  Інтернет та ознайомлення з ним; за результатами консультацій)</w:t>
            </w:r>
            <w:r w:rsidR="00692C0F" w:rsidRPr="00C96347">
              <w:rPr>
                <w:rFonts w:eastAsia="Calibri"/>
                <w:sz w:val="26"/>
                <w:szCs w:val="26"/>
                <w:lang w:val="uk-UA" w:eastAsia="en-US"/>
              </w:rPr>
              <w:t xml:space="preserve"> </w:t>
            </w:r>
            <w:r w:rsidR="00692C0F" w:rsidRPr="00C96347">
              <w:rPr>
                <w:rFonts w:eastAsia="Times New Roman"/>
                <w:sz w:val="26"/>
                <w:szCs w:val="26"/>
                <w:lang w:val="uk-UA" w:eastAsia="ru-RU"/>
              </w:rPr>
              <w:t xml:space="preserve">Х </w:t>
            </w:r>
            <w:r w:rsidR="00D9710C" w:rsidRPr="00D9710C">
              <w:rPr>
                <w:rFonts w:eastAsia="Times New Roman"/>
                <w:sz w:val="26"/>
                <w:szCs w:val="26"/>
                <w:lang w:val="uk-UA" w:eastAsia="ru-RU"/>
              </w:rPr>
              <w:t xml:space="preserve">39,26 грн. </w:t>
            </w:r>
            <w:r w:rsidR="00D9710C" w:rsidRPr="00D9710C">
              <w:rPr>
                <w:rFonts w:eastAsia="Times New Roman"/>
                <w:sz w:val="26"/>
                <w:szCs w:val="26"/>
                <w:lang w:val="uk-UA" w:eastAsia="ru-RU"/>
              </w:rPr>
              <w:lastRenderedPageBreak/>
              <w:t xml:space="preserve">= </w:t>
            </w:r>
          </w:p>
          <w:p w:rsidR="00692C0F" w:rsidRPr="00D9710C" w:rsidRDefault="00D9710C" w:rsidP="00D9710C">
            <w:pPr>
              <w:widowControl w:val="0"/>
              <w:tabs>
                <w:tab w:val="left" w:pos="990"/>
              </w:tabs>
              <w:spacing w:before="120" w:after="120"/>
              <w:ind w:left="102"/>
              <w:textAlignment w:val="baseline"/>
              <w:rPr>
                <w:rFonts w:eastAsia="Times New Roman"/>
                <w:b/>
                <w:sz w:val="26"/>
                <w:szCs w:val="26"/>
                <w:lang w:val="uk-UA" w:eastAsia="ru-RU"/>
              </w:rPr>
            </w:pPr>
            <w:r w:rsidRPr="00D9710C">
              <w:rPr>
                <w:rFonts w:eastAsia="Times New Roman"/>
                <w:b/>
                <w:sz w:val="26"/>
                <w:szCs w:val="26"/>
                <w:lang w:val="uk-UA" w:eastAsia="ru-RU"/>
              </w:rPr>
              <w:t>19,63 грн</w:t>
            </w:r>
          </w:p>
        </w:tc>
        <w:tc>
          <w:tcPr>
            <w:tcW w:w="2277" w:type="dxa"/>
            <w:gridSpan w:val="3"/>
            <w:shd w:val="clear" w:color="auto" w:fill="auto"/>
          </w:tcPr>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lastRenderedPageBreak/>
              <w:t>0,00</w:t>
            </w:r>
          </w:p>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rPr>
          <w:trHeight w:val="840"/>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D9710C" w:rsidRPr="00C96347" w:rsidTr="00A05264">
        <w:trPr>
          <w:trHeight w:val="777"/>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rsidR="00D9710C" w:rsidRPr="00C96347" w:rsidRDefault="00D9710C" w:rsidP="00D9710C">
            <w:pPr>
              <w:widowControl w:val="0"/>
              <w:tabs>
                <w:tab w:val="left" w:pos="360"/>
                <w:tab w:val="center" w:pos="813"/>
                <w:tab w:val="left" w:pos="990"/>
              </w:tabs>
              <w:spacing w:before="120" w:after="120"/>
              <w:ind w:left="270"/>
              <w:rPr>
                <w:rFonts w:eastAsia="Times New Roman"/>
                <w:b/>
                <w:sz w:val="26"/>
                <w:szCs w:val="26"/>
                <w:lang w:val="uk-UA" w:eastAsia="ru-RU"/>
              </w:rPr>
            </w:pPr>
            <w:r w:rsidRPr="00C96347">
              <w:rPr>
                <w:rFonts w:eastAsia="Times New Roman"/>
                <w:b/>
                <w:sz w:val="26"/>
                <w:szCs w:val="26"/>
                <w:lang w:val="uk-UA" w:eastAsia="ru-RU"/>
              </w:rPr>
              <w:t>1</w:t>
            </w:r>
            <w:r>
              <w:rPr>
                <w:rFonts w:eastAsia="Times New Roman"/>
                <w:b/>
                <w:sz w:val="26"/>
                <w:szCs w:val="26"/>
                <w:lang w:val="uk-UA" w:eastAsia="ru-RU"/>
              </w:rPr>
              <w:t>9</w:t>
            </w:r>
            <w:r w:rsidRPr="00C96347">
              <w:rPr>
                <w:rFonts w:eastAsia="Times New Roman"/>
                <w:b/>
                <w:sz w:val="26"/>
                <w:szCs w:val="26"/>
                <w:lang w:val="uk-UA" w:eastAsia="ru-RU"/>
              </w:rPr>
              <w:t>,</w:t>
            </w:r>
            <w:r>
              <w:rPr>
                <w:rFonts w:eastAsia="Times New Roman"/>
                <w:b/>
                <w:sz w:val="26"/>
                <w:szCs w:val="26"/>
                <w:lang w:val="uk-UA" w:eastAsia="ru-RU"/>
              </w:rPr>
              <w:t>63</w:t>
            </w:r>
            <w:r w:rsidRPr="00C96347">
              <w:rPr>
                <w:rFonts w:eastAsia="Times New Roman"/>
                <w:b/>
                <w:sz w:val="26"/>
                <w:szCs w:val="26"/>
                <w:lang w:val="uk-UA" w:eastAsia="ru-RU"/>
              </w:rPr>
              <w:t xml:space="preserve"> грн</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19</w:t>
            </w:r>
            <w:r w:rsidRPr="00C96347">
              <w:rPr>
                <w:rFonts w:eastAsia="Times New Roman"/>
                <w:b/>
                <w:sz w:val="26"/>
                <w:szCs w:val="26"/>
                <w:lang w:val="uk-UA" w:eastAsia="ru-RU"/>
              </w:rPr>
              <w:t>,</w:t>
            </w:r>
            <w:r>
              <w:rPr>
                <w:rFonts w:eastAsia="Times New Roman"/>
                <w:b/>
                <w:sz w:val="26"/>
                <w:szCs w:val="26"/>
                <w:lang w:val="uk-UA" w:eastAsia="ru-RU"/>
              </w:rPr>
              <w:t>63</w:t>
            </w:r>
            <w:r w:rsidRPr="00C96347">
              <w:rPr>
                <w:rFonts w:eastAsia="Times New Roman"/>
                <w:b/>
                <w:sz w:val="26"/>
                <w:szCs w:val="26"/>
                <w:lang w:val="uk-UA" w:eastAsia="ru-RU"/>
              </w:rPr>
              <w:t xml:space="preserve"> грн</w:t>
            </w:r>
          </w:p>
        </w:tc>
      </w:tr>
      <w:tr w:rsidR="00D9710C" w:rsidRPr="00C96347" w:rsidTr="00A05264">
        <w:trPr>
          <w:trHeight w:val="921"/>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D9710C" w:rsidRPr="00C96347" w:rsidTr="00A05264">
        <w:trPr>
          <w:trHeight w:val="480"/>
        </w:trPr>
        <w:tc>
          <w:tcPr>
            <w:tcW w:w="990" w:type="dxa"/>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45659,38</w:t>
            </w:r>
            <w:r w:rsidRPr="00C96347">
              <w:rPr>
                <w:rFonts w:eastAsia="Times New Roman"/>
                <w:b/>
                <w:sz w:val="26"/>
                <w:szCs w:val="26"/>
                <w:lang w:val="uk-UA" w:eastAsia="ru-RU"/>
              </w:rPr>
              <w:t xml:space="preserve"> грн</w:t>
            </w:r>
          </w:p>
        </w:tc>
        <w:tc>
          <w:tcPr>
            <w:tcW w:w="2277" w:type="dxa"/>
            <w:gridSpan w:val="3"/>
            <w:shd w:val="clear" w:color="auto" w:fill="auto"/>
          </w:tcPr>
          <w:p w:rsidR="00D9710C" w:rsidRPr="00132E78" w:rsidRDefault="00D9710C" w:rsidP="00D9710C">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D9710C" w:rsidRPr="00C96347" w:rsidRDefault="00D9710C" w:rsidP="00D9710C">
            <w:pPr>
              <w:widowControl w:val="0"/>
              <w:tabs>
                <w:tab w:val="left" w:pos="990"/>
              </w:tabs>
              <w:spacing w:before="120" w:after="120"/>
              <w:ind w:hanging="34"/>
              <w:textAlignment w:val="baseline"/>
              <w:rPr>
                <w:rFonts w:eastAsia="Times New Roman"/>
                <w:b/>
                <w:sz w:val="26"/>
                <w:szCs w:val="26"/>
                <w:lang w:val="uk-UA" w:eastAsia="ru-RU"/>
              </w:rPr>
            </w:pPr>
            <w:r w:rsidRPr="00185E08">
              <w:rPr>
                <w:rFonts w:eastAsia="Times New Roman"/>
                <w:b/>
                <w:sz w:val="26"/>
                <w:szCs w:val="26"/>
                <w:lang w:val="uk-UA" w:eastAsia="ru-RU"/>
              </w:rPr>
              <w:t xml:space="preserve">45659,38 </w:t>
            </w:r>
            <w:r w:rsidRPr="00C96347">
              <w:rPr>
                <w:rFonts w:eastAsia="Times New Roman"/>
                <w:b/>
                <w:sz w:val="26"/>
                <w:szCs w:val="26"/>
                <w:lang w:val="uk-UA" w:eastAsia="ru-RU"/>
              </w:rPr>
              <w:t>грн</w:t>
            </w:r>
          </w:p>
        </w:tc>
      </w:tr>
    </w:tbl>
    <w:p w:rsidR="0049181B" w:rsidRPr="00C96347" w:rsidRDefault="0049181B" w:rsidP="00FA7487">
      <w:pPr>
        <w:rPr>
          <w:sz w:val="16"/>
          <w:szCs w:val="16"/>
          <w:lang w:val="uk-UA"/>
        </w:rPr>
      </w:pPr>
    </w:p>
    <w:bookmarkEnd w:id="1"/>
    <w:bookmarkEnd w:id="2"/>
    <w:p w:rsidR="00117164" w:rsidRDefault="00117164" w:rsidP="00FA7487">
      <w:pPr>
        <w:widowControl w:val="0"/>
        <w:tabs>
          <w:tab w:val="left" w:pos="990"/>
        </w:tabs>
        <w:spacing w:before="120" w:after="120"/>
        <w:ind w:left="270"/>
        <w:jc w:val="center"/>
        <w:rPr>
          <w:rFonts w:eastAsia="Times New Roman"/>
          <w:b/>
          <w:sz w:val="26"/>
          <w:szCs w:val="26"/>
          <w:lang w:val="uk-UA" w:eastAsia="ru-RU"/>
        </w:rPr>
      </w:pPr>
    </w:p>
    <w:p w:rsidR="00410C85" w:rsidRDefault="00410C85" w:rsidP="00FA7487">
      <w:pPr>
        <w:widowControl w:val="0"/>
        <w:tabs>
          <w:tab w:val="left" w:pos="990"/>
        </w:tabs>
        <w:spacing w:before="120" w:after="120"/>
        <w:ind w:left="270"/>
        <w:jc w:val="center"/>
        <w:rPr>
          <w:rFonts w:eastAsia="Times New Roman"/>
          <w:b/>
          <w:sz w:val="26"/>
          <w:szCs w:val="26"/>
          <w:lang w:val="uk-UA" w:eastAsia="ru-RU"/>
        </w:rPr>
      </w:pPr>
    </w:p>
    <w:p w:rsidR="00410C85" w:rsidRDefault="00410C85" w:rsidP="00FA7487">
      <w:pPr>
        <w:widowControl w:val="0"/>
        <w:tabs>
          <w:tab w:val="left" w:pos="990"/>
        </w:tabs>
        <w:spacing w:before="120" w:after="120"/>
        <w:ind w:left="270"/>
        <w:jc w:val="center"/>
        <w:rPr>
          <w:rFonts w:eastAsia="Times New Roman"/>
          <w:b/>
          <w:sz w:val="26"/>
          <w:szCs w:val="26"/>
          <w:lang w:val="uk-UA" w:eastAsia="ru-RU"/>
        </w:rPr>
      </w:pPr>
    </w:p>
    <w:p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rsidR="00D9710C" w:rsidRPr="00C96347" w:rsidRDefault="00D9710C" w:rsidP="00D9710C">
            <w:pPr>
              <w:rPr>
                <w:rFonts w:eastAsia="Times New Roman"/>
                <w:sz w:val="26"/>
                <w:szCs w:val="26"/>
                <w:lang w:val="uk-UA" w:eastAsia="ru-RU"/>
              </w:rPr>
            </w:pP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tabs>
                <w:tab w:val="left" w:pos="552"/>
                <w:tab w:val="center" w:pos="801"/>
              </w:tabs>
              <w:jc w:val="center"/>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Pr>
                <w:rFonts w:eastAsia="Times New Roman"/>
                <w:sz w:val="26"/>
                <w:szCs w:val="26"/>
                <w:lang w:val="uk-UA" w:eastAsia="ru-RU"/>
              </w:rPr>
              <w:t>63</w:t>
            </w:r>
            <w:r w:rsidRPr="00C96347">
              <w:rPr>
                <w:rFonts w:eastAsia="Times New Roman"/>
                <w:sz w:val="26"/>
                <w:szCs w:val="26"/>
                <w:lang w:val="uk-UA" w:eastAsia="ru-RU"/>
              </w:rPr>
              <w:t xml:space="preserve"> грн</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p>
          <w:p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p>
          <w:p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r>
      <w:tr w:rsidR="00D9710C" w:rsidRPr="00C96347" w:rsidTr="00E12DE1">
        <w:tc>
          <w:tcPr>
            <w:tcW w:w="1384"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r>
              <w:rPr>
                <w:rFonts w:eastAsia="Times New Roman"/>
                <w:b/>
                <w:sz w:val="26"/>
                <w:szCs w:val="26"/>
                <w:lang w:val="uk-UA" w:eastAsia="ru-RU"/>
              </w:rPr>
              <w:t>10325,38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D9710C" w:rsidRPr="00C96347" w:rsidRDefault="00D9710C" w:rsidP="00D9710C">
            <w:pPr>
              <w:jc w:val="center"/>
              <w:rPr>
                <w:rFonts w:eastAsia="Times New Roman"/>
                <w:b/>
                <w:sz w:val="26"/>
                <w:szCs w:val="26"/>
                <w:lang w:val="uk-UA" w:eastAsia="ru-RU"/>
              </w:rPr>
            </w:pPr>
            <w:r w:rsidRPr="00185E08">
              <w:rPr>
                <w:rFonts w:eastAsia="Times New Roman"/>
                <w:b/>
                <w:sz w:val="26"/>
                <w:szCs w:val="26"/>
                <w:lang w:val="uk-UA" w:eastAsia="ru-RU"/>
              </w:rPr>
              <w:t xml:space="preserve">10325,38 </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CE4E66"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E32243"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C96347" w:rsidRDefault="00E32243"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F111FF"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p w:rsidR="00E32243" w:rsidRPr="00C96347" w:rsidRDefault="00E32243"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3"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D9710C" w:rsidRPr="00C52999" w:rsidRDefault="00D9710C" w:rsidP="00D9710C">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10325,38 </w:t>
            </w:r>
            <w:r w:rsidRPr="00C52999">
              <w:rPr>
                <w:rFonts w:eastAsia="Times New Roman"/>
                <w:sz w:val="26"/>
                <w:szCs w:val="26"/>
                <w:lang w:val="uk-UA" w:eastAsia="ru-RU"/>
              </w:rPr>
              <w:t>грн.</w:t>
            </w:r>
          </w:p>
        </w:tc>
      </w:tr>
      <w:tr w:rsidR="00D9710C"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D9710C" w:rsidRPr="00C96347" w:rsidRDefault="00D9710C" w:rsidP="00D9710C">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45659,38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3"/>
    </w:tbl>
    <w:p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rsidTr="00191984">
        <w:tc>
          <w:tcPr>
            <w:tcW w:w="2430" w:type="dxa"/>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rsidTr="00191984">
        <w:tc>
          <w:tcPr>
            <w:tcW w:w="2430"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забезпечення ресурсозбереження та збалансованого водокористування;</w:t>
            </w:r>
          </w:p>
          <w:p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рівня водної безпеки держави;</w:t>
            </w:r>
          </w:p>
          <w:p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посилення відповідальності у секторі водопостачання;</w:t>
            </w:r>
          </w:p>
          <w:p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збільшення інвестиційної привабливості сфери водопостачання;</w:t>
            </w:r>
          </w:p>
          <w:p w:rsidR="00F111FF" w:rsidRPr="00C96347"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прозорості у секторі водопостачання.</w:t>
            </w:r>
          </w:p>
        </w:tc>
      </w:tr>
      <w:tr w:rsidR="00EC6739" w:rsidRPr="00071A58" w:rsidTr="00191984">
        <w:tc>
          <w:tcPr>
            <w:tcW w:w="2430"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rsidTr="00191984">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Забезпечення ресурсозбереження та збалансованого водокористування.</w:t>
            </w:r>
          </w:p>
          <w:p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Захист національних інтересів держави в екологічній сфері.</w:t>
            </w:r>
          </w:p>
          <w:p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 xml:space="preserve">Підтримка на належному рівні </w:t>
            </w:r>
            <w:r w:rsidRPr="00953799">
              <w:rPr>
                <w:rFonts w:eastAsia="Times New Roman"/>
                <w:bCs/>
                <w:sz w:val="26"/>
                <w:szCs w:val="26"/>
                <w:lang w:val="uk-UA" w:eastAsia="ru-RU"/>
              </w:rPr>
              <w:lastRenderedPageBreak/>
              <w:t>водної безпеки держави.</w:t>
            </w:r>
          </w:p>
          <w:p w:rsid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Збільшення інвестиційної привабливості сфери водокористування.</w:t>
            </w:r>
          </w:p>
          <w:p w:rsidR="00A05264" w:rsidRPr="00C96347" w:rsidRDefault="00ED0095" w:rsidP="00953799">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t>Забезпечення відкритості та прозорості у секторі водопостачання.</w:t>
            </w:r>
          </w:p>
          <w:p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t>Забезпечення прав та законних інтересів суб’єктів господарювання.</w:t>
            </w:r>
          </w:p>
          <w:p w:rsidR="00ED0095" w:rsidRPr="00C96347"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sz w:val="26"/>
                <w:szCs w:val="26"/>
                <w:lang w:val="uk-UA" w:eastAsia="ru-RU"/>
              </w:rPr>
              <w:t>Підвищення інвестиційної привабливості сфери водопостачання.</w:t>
            </w:r>
          </w:p>
        </w:tc>
        <w:tc>
          <w:tcPr>
            <w:tcW w:w="2495" w:type="dxa"/>
            <w:gridSpan w:val="2"/>
            <w:tcBorders>
              <w:bottom w:val="single" w:sz="4" w:space="0" w:color="auto"/>
            </w:tcBorders>
          </w:tcPr>
          <w:p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Прогнозуються витрати, пов’язані виключно з необхідністю ознайомитись з новими вимогами </w:t>
            </w:r>
            <w:r w:rsidRPr="00C96347">
              <w:rPr>
                <w:rFonts w:eastAsia="Times New Roman"/>
                <w:sz w:val="26"/>
                <w:szCs w:val="26"/>
                <w:lang w:val="uk-UA" w:eastAsia="ru-RU"/>
              </w:rPr>
              <w:lastRenderedPageBreak/>
              <w:t>регулювання.</w:t>
            </w:r>
          </w:p>
          <w:p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Дана альтернатива забезпечує потреби у розв’язанні проблеми та досягнення встановлених цілей.</w:t>
            </w:r>
          </w:p>
        </w:tc>
      </w:tr>
      <w:tr w:rsidR="00856E3E" w:rsidRPr="00C96347" w:rsidTr="00191984">
        <w:tc>
          <w:tcPr>
            <w:tcW w:w="2430" w:type="dxa"/>
            <w:tcBorders>
              <w:bottom w:val="single" w:sz="4" w:space="0" w:color="auto"/>
            </w:tcBorders>
          </w:tcPr>
          <w:p w:rsidR="00856E3E" w:rsidRPr="00C96347" w:rsidRDefault="00856E3E"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1</w:t>
            </w:r>
            <w:r w:rsidRPr="00C96347">
              <w:rPr>
                <w:rFonts w:eastAsia="Times New Roman"/>
                <w:sz w:val="26"/>
                <w:szCs w:val="26"/>
                <w:lang w:val="uk-UA" w:eastAsia="ru-RU"/>
              </w:rPr>
              <w:t>.</w:t>
            </w:r>
          </w:p>
        </w:tc>
        <w:tc>
          <w:tcPr>
            <w:tcW w:w="2815" w:type="dxa"/>
            <w:tcBorders>
              <w:bottom w:val="single" w:sz="4" w:space="0" w:color="auto"/>
            </w:tcBorders>
          </w:tcPr>
          <w:p w:rsidR="001609B8" w:rsidRPr="00C96347" w:rsidRDefault="008F16E4" w:rsidP="00FA7487">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rsidR="00C65004" w:rsidRPr="00C96347" w:rsidRDefault="00C65004" w:rsidP="00FA7487">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rsidR="00856E3E" w:rsidRPr="00C96347"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rsidR="00A05264" w:rsidRPr="00C96347"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 xml:space="preserve">Для </w:t>
            </w:r>
            <w:r w:rsidR="00C65004" w:rsidRPr="00C96347">
              <w:rPr>
                <w:rFonts w:eastAsia="Times New Roman"/>
                <w:b/>
                <w:bCs/>
                <w:sz w:val="26"/>
                <w:szCs w:val="26"/>
                <w:lang w:val="uk-UA" w:eastAsia="ru-RU"/>
              </w:rPr>
              <w:t>держави:</w:t>
            </w:r>
          </w:p>
          <w:p w:rsidR="00C65004" w:rsidRPr="00C96347" w:rsidRDefault="00C6500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p w:rsidR="00A93A55"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rsidR="00C65004" w:rsidRPr="00C96347" w:rsidRDefault="00952DDF"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залишаться на існуючому рівні</w:t>
            </w:r>
            <w:r w:rsidR="00BE4353" w:rsidRPr="00C96347">
              <w:rPr>
                <w:rFonts w:eastAsia="Times New Roman"/>
                <w:sz w:val="26"/>
                <w:szCs w:val="26"/>
                <w:lang w:val="uk-UA" w:eastAsia="ru-RU"/>
              </w:rPr>
              <w:t>.</w:t>
            </w:r>
          </w:p>
        </w:tc>
        <w:tc>
          <w:tcPr>
            <w:tcW w:w="2020" w:type="dxa"/>
            <w:tcBorders>
              <w:bottom w:val="single" w:sz="4" w:space="0" w:color="auto"/>
            </w:tcBorders>
          </w:tcPr>
          <w:p w:rsidR="00C6397D" w:rsidRPr="00C96347" w:rsidRDefault="00A72381"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Така альтернатива </w:t>
            </w:r>
            <w:r w:rsidR="00F111FF" w:rsidRPr="00C96347">
              <w:rPr>
                <w:rFonts w:eastAsia="Times New Roman"/>
                <w:sz w:val="26"/>
                <w:szCs w:val="26"/>
                <w:lang w:val="uk-UA" w:eastAsia="ru-RU"/>
              </w:rPr>
              <w:t xml:space="preserve">не </w:t>
            </w:r>
            <w:r w:rsidRPr="00C96347">
              <w:rPr>
                <w:rFonts w:eastAsia="Times New Roman"/>
                <w:sz w:val="26"/>
                <w:szCs w:val="26"/>
                <w:lang w:val="uk-UA" w:eastAsia="ru-RU"/>
              </w:rPr>
              <w:t>сприятиме досягненню цілей державного регулювання</w:t>
            </w:r>
            <w:r w:rsidR="00F111FF" w:rsidRPr="00C96347">
              <w:rPr>
                <w:rFonts w:eastAsia="Times New Roman"/>
                <w:sz w:val="26"/>
                <w:szCs w:val="26"/>
                <w:lang w:val="uk-UA" w:eastAsia="ru-RU"/>
              </w:rPr>
              <w:t>.</w:t>
            </w:r>
          </w:p>
        </w:tc>
      </w:tr>
      <w:tr w:rsidR="00382BB0" w:rsidRPr="00C96347" w:rsidTr="00E13CD6">
        <w:tc>
          <w:tcPr>
            <w:tcW w:w="2430" w:type="dxa"/>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rsidTr="00E13CD6">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rsidTr="00E13CD6">
        <w:tc>
          <w:tcPr>
            <w:tcW w:w="2430" w:type="dxa"/>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rsidTr="00E13CD6">
        <w:tc>
          <w:tcPr>
            <w:tcW w:w="2430" w:type="dxa"/>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rsidR="00F111FF" w:rsidRPr="00B27CA4" w:rsidRDefault="00191984" w:rsidP="00980DA8">
            <w:pPr>
              <w:widowControl w:val="0"/>
              <w:tabs>
                <w:tab w:val="left" w:pos="-3686"/>
                <w:tab w:val="left" w:pos="990"/>
              </w:tabs>
              <w:spacing w:after="120"/>
              <w:ind w:left="90"/>
              <w:rPr>
                <w:rFonts w:eastAsia="Times New Roman"/>
                <w:color w:val="000000"/>
                <w:sz w:val="26"/>
                <w:szCs w:val="26"/>
                <w:lang w:val="uk-UA" w:eastAsia="ru-RU"/>
              </w:rPr>
            </w:pPr>
            <w:r w:rsidRPr="00C96347">
              <w:rPr>
                <w:rFonts w:eastAsia="Times New Roman"/>
                <w:color w:val="000000"/>
                <w:sz w:val="26"/>
                <w:szCs w:val="26"/>
                <w:lang w:val="uk-UA" w:eastAsia="ru-RU"/>
              </w:rPr>
              <w:t xml:space="preserve">Така альтернатива досягнення цілей державного регулювання </w:t>
            </w:r>
            <w:r w:rsidRPr="00C96347">
              <w:rPr>
                <w:rFonts w:eastAsia="Times New Roman"/>
                <w:color w:val="000000"/>
                <w:sz w:val="26"/>
                <w:szCs w:val="26"/>
                <w:lang w:val="uk-UA" w:eastAsia="ru-RU"/>
              </w:rPr>
              <w:lastRenderedPageBreak/>
              <w:t>сприятиме</w:t>
            </w:r>
            <w:r w:rsidR="00953799">
              <w:rPr>
                <w:rFonts w:eastAsia="Times New Roman"/>
                <w:color w:val="000000"/>
                <w:sz w:val="26"/>
                <w:szCs w:val="26"/>
                <w:lang w:val="uk-UA" w:eastAsia="ru-RU"/>
              </w:rPr>
              <w:t xml:space="preserve"> підтримці на належному рівні водної безпеки держави</w:t>
            </w:r>
            <w:r w:rsidR="00A40E76" w:rsidRPr="00C96347">
              <w:rPr>
                <w:rFonts w:eastAsia="Times New Roman"/>
                <w:color w:val="000000"/>
                <w:sz w:val="26"/>
                <w:szCs w:val="26"/>
                <w:lang w:val="uk-UA" w:eastAsia="ru-RU"/>
              </w:rPr>
              <w:t xml:space="preserve">, </w:t>
            </w:r>
            <w:r w:rsidR="00B27CA4">
              <w:rPr>
                <w:rFonts w:eastAsia="Times New Roman"/>
                <w:color w:val="000000"/>
                <w:sz w:val="26"/>
                <w:szCs w:val="26"/>
                <w:lang w:val="uk-UA" w:eastAsia="ru-RU"/>
              </w:rPr>
              <w:t>забезпеченню</w:t>
            </w:r>
            <w:r w:rsidR="00B27CA4" w:rsidRPr="00B27CA4">
              <w:rPr>
                <w:rFonts w:eastAsia="Times New Roman"/>
                <w:color w:val="000000"/>
                <w:sz w:val="26"/>
                <w:szCs w:val="26"/>
                <w:lang w:val="uk-UA" w:eastAsia="ru-RU"/>
              </w:rPr>
              <w:t xml:space="preserve"> ресурсозбереження та збалансовано</w:t>
            </w:r>
            <w:r w:rsidR="00B27CA4">
              <w:rPr>
                <w:rFonts w:eastAsia="Times New Roman"/>
                <w:color w:val="000000"/>
                <w:sz w:val="26"/>
                <w:szCs w:val="26"/>
                <w:lang w:val="uk-UA" w:eastAsia="ru-RU"/>
              </w:rPr>
              <w:t>го водокористування, з</w:t>
            </w:r>
            <w:r w:rsidR="00B27CA4" w:rsidRPr="00B27CA4">
              <w:rPr>
                <w:rFonts w:eastAsia="Times New Roman"/>
                <w:color w:val="000000"/>
                <w:sz w:val="26"/>
                <w:szCs w:val="26"/>
                <w:lang w:val="uk-UA" w:eastAsia="ru-RU"/>
              </w:rPr>
              <w:t>ахист</w:t>
            </w:r>
            <w:r w:rsidR="00B27CA4">
              <w:rPr>
                <w:rFonts w:eastAsia="Times New Roman"/>
                <w:color w:val="000000"/>
                <w:sz w:val="26"/>
                <w:szCs w:val="26"/>
                <w:lang w:val="uk-UA" w:eastAsia="ru-RU"/>
              </w:rPr>
              <w:t>у</w:t>
            </w:r>
            <w:r w:rsidR="00B27CA4" w:rsidRPr="00B27CA4">
              <w:rPr>
                <w:rFonts w:eastAsia="Times New Roman"/>
                <w:color w:val="000000"/>
                <w:sz w:val="26"/>
                <w:szCs w:val="26"/>
                <w:lang w:val="uk-UA" w:eastAsia="ru-RU"/>
              </w:rPr>
              <w:t xml:space="preserve"> національних інтересів держави в екологічній сфері</w:t>
            </w:r>
            <w:r w:rsidR="00B27CA4">
              <w:rPr>
                <w:rFonts w:eastAsia="Times New Roman"/>
                <w:color w:val="000000"/>
                <w:sz w:val="26"/>
                <w:szCs w:val="26"/>
                <w:lang w:val="uk-UA" w:eastAsia="ru-RU"/>
              </w:rPr>
              <w:t>, забезпеченню</w:t>
            </w:r>
            <w:r w:rsidR="00B27CA4" w:rsidRPr="00B27CA4">
              <w:rPr>
                <w:rFonts w:eastAsia="Times New Roman"/>
                <w:color w:val="000000"/>
                <w:sz w:val="26"/>
                <w:szCs w:val="26"/>
                <w:lang w:val="uk-UA" w:eastAsia="ru-RU"/>
              </w:rPr>
              <w:t xml:space="preserve"> </w:t>
            </w:r>
            <w:r w:rsidRPr="00C96347">
              <w:rPr>
                <w:rFonts w:eastAsia="Times New Roman"/>
                <w:color w:val="000000"/>
                <w:sz w:val="26"/>
                <w:szCs w:val="26"/>
                <w:lang w:val="uk-UA" w:eastAsia="ru-RU"/>
              </w:rPr>
              <w:t xml:space="preserve">відкритості та прозорості </w:t>
            </w:r>
            <w:r w:rsidR="00980DA8">
              <w:rPr>
                <w:rFonts w:eastAsia="Times New Roman"/>
                <w:color w:val="000000"/>
                <w:sz w:val="26"/>
                <w:szCs w:val="26"/>
                <w:lang w:val="uk-UA" w:eastAsia="ru-RU"/>
              </w:rPr>
              <w:t>сектору</w:t>
            </w:r>
            <w:r w:rsidRPr="00C96347">
              <w:rPr>
                <w:rFonts w:eastAsia="Times New Roman"/>
                <w:color w:val="000000"/>
                <w:sz w:val="26"/>
                <w:szCs w:val="26"/>
                <w:lang w:val="uk-UA" w:eastAsia="ru-RU"/>
              </w:rPr>
              <w:t xml:space="preserve"> </w:t>
            </w:r>
            <w:r w:rsidR="00980DA8">
              <w:rPr>
                <w:rFonts w:eastAsia="Times New Roman"/>
                <w:color w:val="000000"/>
                <w:sz w:val="26"/>
                <w:szCs w:val="26"/>
                <w:lang w:val="uk-UA" w:eastAsia="ru-RU"/>
              </w:rPr>
              <w:t>водопостачання</w:t>
            </w:r>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4" w:name="n79"/>
      <w:bookmarkStart w:id="5" w:name="n80"/>
      <w:bookmarkStart w:id="6" w:name="n81"/>
      <w:bookmarkStart w:id="7" w:name="n83"/>
      <w:bookmarkStart w:id="8" w:name="n89"/>
      <w:bookmarkStart w:id="9" w:name="n90"/>
      <w:bookmarkStart w:id="10" w:name="n91"/>
      <w:bookmarkStart w:id="11" w:name="n92"/>
      <w:bookmarkStart w:id="12" w:name="n93"/>
      <w:bookmarkStart w:id="13" w:name="n94"/>
      <w:bookmarkStart w:id="14" w:name="n95"/>
      <w:bookmarkStart w:id="15" w:name="n97"/>
      <w:bookmarkStart w:id="16" w:name="_Hlk489262209"/>
      <w:bookmarkEnd w:id="4"/>
      <w:bookmarkEnd w:id="5"/>
      <w:bookmarkEnd w:id="6"/>
      <w:bookmarkEnd w:id="7"/>
      <w:bookmarkEnd w:id="8"/>
      <w:bookmarkEnd w:id="9"/>
      <w:bookmarkEnd w:id="10"/>
      <w:bookmarkEnd w:id="11"/>
      <w:bookmarkEnd w:id="12"/>
      <w:bookmarkEnd w:id="13"/>
      <w:bookmarkEnd w:id="14"/>
      <w:bookmarkEnd w:id="15"/>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rsidR="0012534A"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rFonts w:eastAsia="Times New Roman"/>
          <w:sz w:val="26"/>
          <w:szCs w:val="26"/>
          <w:lang w:val="uk-UA" w:eastAsia="ru-RU"/>
        </w:rPr>
        <w:t>збалансоване водокористування</w:t>
      </w:r>
      <w:r w:rsidR="0012534A" w:rsidRPr="007B2B03">
        <w:rPr>
          <w:sz w:val="26"/>
          <w:szCs w:val="26"/>
          <w:shd w:val="clear" w:color="auto" w:fill="FFFFFF"/>
          <w:lang w:val="uk-UA"/>
        </w:rPr>
        <w:t>;</w:t>
      </w:r>
    </w:p>
    <w:p w:rsidR="0052700F" w:rsidRPr="007B2B03"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 xml:space="preserve">підтримку на </w:t>
      </w:r>
      <w:r w:rsidR="00980DA8" w:rsidRPr="007B2B03">
        <w:rPr>
          <w:sz w:val="26"/>
          <w:szCs w:val="26"/>
          <w:shd w:val="clear" w:color="auto" w:fill="FFFFFF"/>
          <w:lang w:val="uk-UA"/>
        </w:rPr>
        <w:t>належному рівні водної безпеки держави</w:t>
      </w:r>
      <w:r w:rsidRPr="007B2B03">
        <w:rPr>
          <w:sz w:val="26"/>
          <w:szCs w:val="26"/>
          <w:shd w:val="clear" w:color="auto" w:fill="FFFFFF"/>
          <w:lang w:val="uk-UA"/>
        </w:rPr>
        <w:t>;</w:t>
      </w:r>
    </w:p>
    <w:p w:rsidR="007B2B03"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захист національних інтересів держави в екологічній сфері</w:t>
      </w:r>
    </w:p>
    <w:p w:rsidR="00582E82" w:rsidRPr="007B2B03" w:rsidRDefault="00582E82"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посилення відповідальності у секторі водопостачання</w:t>
      </w:r>
    </w:p>
    <w:p w:rsidR="0012534A" w:rsidRPr="00C96347" w:rsidRDefault="0012534A"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7B2B03">
        <w:rPr>
          <w:rFonts w:eastAsia="Times New Roman"/>
          <w:sz w:val="26"/>
          <w:szCs w:val="26"/>
          <w:lang w:val="uk-UA" w:eastAsia="ru-RU"/>
        </w:rPr>
        <w:t xml:space="preserve">відкритість та прозорість сфери </w:t>
      </w:r>
      <w:r w:rsidR="004508CC" w:rsidRPr="007B2B03">
        <w:rPr>
          <w:rFonts w:eastAsia="Times New Roman"/>
          <w:sz w:val="26"/>
          <w:szCs w:val="26"/>
          <w:lang w:val="uk-UA" w:eastAsia="ru-RU"/>
        </w:rPr>
        <w:t>водокористування</w:t>
      </w:r>
      <w:r w:rsidR="007B2B03" w:rsidRPr="007B2B03">
        <w:rPr>
          <w:rFonts w:eastAsia="Times New Roman"/>
          <w:sz w:val="26"/>
          <w:szCs w:val="26"/>
          <w:lang w:val="uk-UA" w:eastAsia="ru-RU"/>
        </w:rPr>
        <w:t>.</w:t>
      </w:r>
    </w:p>
    <w:p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proofErr w:type="spellStart"/>
      <w:r w:rsidR="00FB239A" w:rsidRPr="00941556">
        <w:rPr>
          <w:rFonts w:eastAsia="Times New Roman"/>
          <w:sz w:val="26"/>
          <w:szCs w:val="26"/>
          <w:lang w:val="uk-UA" w:eastAsia="ru-RU"/>
        </w:rPr>
        <w:t>розгяд</w:t>
      </w:r>
      <w:proofErr w:type="spellEnd"/>
      <w:r w:rsidR="00FB239A" w:rsidRPr="00941556">
        <w:rPr>
          <w:rFonts w:eastAsia="Times New Roman"/>
          <w:sz w:val="26"/>
          <w:szCs w:val="26"/>
          <w:lang w:val="uk-UA" w:eastAsia="ru-RU"/>
        </w:rPr>
        <w:t xml:space="preserve"> Кабінету Міністрів України</w:t>
      </w:r>
      <w:r w:rsidR="00C94A63" w:rsidRPr="00941556">
        <w:rPr>
          <w:rFonts w:eastAsia="Times New Roman"/>
          <w:sz w:val="26"/>
          <w:szCs w:val="26"/>
          <w:lang w:val="uk-UA" w:eastAsia="ru-RU"/>
        </w:rPr>
        <w:t xml:space="preserve">, </w:t>
      </w:r>
      <w:r w:rsidR="00EC216F" w:rsidRPr="00941556">
        <w:rPr>
          <w:rFonts w:eastAsia="Times New Roman"/>
          <w:sz w:val="26"/>
          <w:szCs w:val="26"/>
          <w:lang w:val="uk-UA" w:eastAsia="ru-RU"/>
        </w:rPr>
        <w:t>забезпечення супроводження його у Верховній Раді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 </w:t>
      </w:r>
      <w:r w:rsidR="00A02623" w:rsidRPr="00941556">
        <w:rPr>
          <w:rFonts w:eastAsia="Times New Roman"/>
          <w:sz w:val="26"/>
          <w:szCs w:val="26"/>
          <w:lang w:val="uk-UA" w:eastAsia="ru-RU"/>
        </w:rPr>
        <w:t xml:space="preserve">Голосі України, </w:t>
      </w:r>
      <w:r w:rsidR="004F6E75" w:rsidRPr="00941556">
        <w:rPr>
          <w:rFonts w:eastAsia="Times New Roman"/>
          <w:sz w:val="26"/>
          <w:szCs w:val="26"/>
          <w:lang w:val="uk-UA" w:eastAsia="ru-RU"/>
        </w:rPr>
        <w:t>Офіційному віснику України та газеті «Урядовий кур’єр».</w:t>
      </w:r>
    </w:p>
    <w:p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6"/>
    <w:p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7" w:name="_Hlk496274919"/>
      <w:r w:rsidRPr="00C96347">
        <w:rPr>
          <w:rFonts w:eastAsia="Times New Roman"/>
          <w:sz w:val="26"/>
          <w:szCs w:val="26"/>
          <w:lang w:val="uk-UA" w:eastAsia="ru-RU"/>
        </w:rPr>
        <w:lastRenderedPageBreak/>
        <w:t>Проведено р</w:t>
      </w:r>
      <w:r w:rsidR="0029598B" w:rsidRPr="00C96347">
        <w:rPr>
          <w:rFonts w:eastAsia="Times New Roman"/>
          <w:sz w:val="26"/>
          <w:szCs w:val="26"/>
          <w:lang w:val="uk-UA" w:eastAsia="ru-RU"/>
        </w:rPr>
        <w:t>озрахунок витрат на одного суб’єкта господарювання</w:t>
      </w:r>
      <w:bookmarkEnd w:id="17"/>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rsidR="000C6772" w:rsidRPr="00C96347" w:rsidRDefault="000C6772" w:rsidP="00FA7487">
      <w:pPr>
        <w:ind w:right="-1" w:firstLine="709"/>
        <w:jc w:val="both"/>
        <w:rPr>
          <w:rFonts w:eastAsia="Calibri"/>
          <w:color w:val="000000"/>
          <w:sz w:val="16"/>
          <w:szCs w:val="16"/>
          <w:shd w:val="clear" w:color="auto" w:fill="FFFFFF"/>
          <w:lang w:val="uk-UA" w:eastAsia="en-US"/>
        </w:rPr>
      </w:pPr>
    </w:p>
    <w:p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18"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18"/>
      <w:r w:rsidRPr="00C96347">
        <w:rPr>
          <w:rFonts w:eastAsia="Times New Roman"/>
          <w:sz w:val="26"/>
          <w:szCs w:val="26"/>
          <w:lang w:val="uk-UA" w:eastAsia="ru-RU"/>
        </w:rPr>
        <w:t>.</w:t>
      </w:r>
    </w:p>
    <w:p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w:t>
      </w:r>
      <w:r w:rsidR="0004631C">
        <w:rPr>
          <w:rFonts w:eastAsia="Times New Roman"/>
          <w:sz w:val="26"/>
          <w:szCs w:val="26"/>
          <w:lang w:val="uk-UA" w:eastAsia="ru-RU"/>
        </w:rPr>
        <w:t xml:space="preserve">Голосі України,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rsidR="004855F9" w:rsidRPr="00C96347" w:rsidRDefault="004855F9" w:rsidP="00FA7487">
      <w:pPr>
        <w:widowControl w:val="0"/>
        <w:tabs>
          <w:tab w:val="left" w:pos="990"/>
        </w:tabs>
        <w:ind w:left="270"/>
        <w:jc w:val="both"/>
        <w:rPr>
          <w:rFonts w:eastAsia="Times New Roman"/>
          <w:sz w:val="16"/>
          <w:szCs w:val="16"/>
          <w:lang w:val="uk-UA" w:eastAsia="ru-RU"/>
        </w:rPr>
      </w:pPr>
    </w:p>
    <w:p w:rsidR="008E5EEB" w:rsidRPr="00C96347" w:rsidRDefault="008E5EEB"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rsidR="00BF40EC" w:rsidRPr="00941556" w:rsidRDefault="00941556" w:rsidP="00941556">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Кількість виданих ліцензій з буріння свердловин для добування підземних вод та їх ліквідації та/або тампонування</w:t>
      </w:r>
      <w:r w:rsidR="00D73C34" w:rsidRPr="00941556">
        <w:rPr>
          <w:rFonts w:eastAsia="Times New Roman"/>
          <w:bCs/>
          <w:sz w:val="26"/>
          <w:szCs w:val="26"/>
          <w:lang w:val="uk-UA" w:eastAsia="ru-RU"/>
        </w:rPr>
        <w:t>.</w:t>
      </w:r>
    </w:p>
    <w:p w:rsidR="00D73C34" w:rsidRPr="00941556" w:rsidRDefault="00E82489" w:rsidP="00941556">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 xml:space="preserve">Кількість </w:t>
      </w:r>
      <w:r w:rsidR="00941556" w:rsidRPr="00941556">
        <w:rPr>
          <w:rFonts w:eastAsia="Times New Roman"/>
          <w:bCs/>
          <w:sz w:val="26"/>
          <w:szCs w:val="26"/>
          <w:lang w:val="uk-UA" w:eastAsia="ru-RU"/>
        </w:rPr>
        <w:t>складених протоколів про адміністративні правопорушення за незаконну діяльність з буріння артезіанських свердловин та їх ліквідацію та/або тампонування та незабезпечення ліквідаційного санітарно-технічного тампонажу свердловин для добування підземних вод після припинення їх експлуатації</w:t>
      </w:r>
      <w:r w:rsidR="00D73C34" w:rsidRPr="00941556">
        <w:rPr>
          <w:rFonts w:eastAsia="Times New Roman"/>
          <w:bCs/>
          <w:sz w:val="26"/>
          <w:szCs w:val="26"/>
          <w:lang w:val="uk-UA" w:eastAsia="ru-RU"/>
        </w:rPr>
        <w:t>.</w:t>
      </w:r>
    </w:p>
    <w:p w:rsidR="005060FF" w:rsidRDefault="005060FF" w:rsidP="00FA7487">
      <w:pPr>
        <w:widowControl w:val="0"/>
        <w:tabs>
          <w:tab w:val="left" w:pos="990"/>
        </w:tabs>
        <w:spacing w:after="120"/>
        <w:ind w:firstLine="709"/>
        <w:jc w:val="center"/>
        <w:rPr>
          <w:rFonts w:eastAsia="Times New Roman"/>
          <w:b/>
          <w:sz w:val="26"/>
          <w:szCs w:val="26"/>
          <w:lang w:val="uk-UA" w:eastAsia="ru-RU"/>
        </w:rPr>
      </w:pPr>
    </w:p>
    <w:p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lastRenderedPageBreak/>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через рік з дня набрання чинності цим регуляторним актом</w:t>
      </w:r>
      <w:r>
        <w:rPr>
          <w:sz w:val="26"/>
          <w:szCs w:val="26"/>
          <w:lang w:val="uk-UA"/>
        </w:rPr>
        <w:t xml:space="preserve">, </w:t>
      </w:r>
      <w:r w:rsidRPr="00253562">
        <w:rPr>
          <w:sz w:val="26"/>
          <w:szCs w:val="26"/>
          <w:lang w:val="uk-UA"/>
        </w:rPr>
        <w:t>але 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Міністерство</w:t>
      </w:r>
      <w:r w:rsidR="00A7673E">
        <w:rPr>
          <w:sz w:val="26"/>
          <w:szCs w:val="26"/>
          <w:lang w:val="uk-UA"/>
        </w:rPr>
        <w:t>м</w:t>
      </w:r>
      <w:r w:rsidRPr="00C96347">
        <w:rPr>
          <w:sz w:val="26"/>
          <w:szCs w:val="26"/>
          <w:lang w:val="uk-UA"/>
        </w:rPr>
        <w:t xml:space="preserve"> захисту довкілля та природних ресурсів України спільно з Державною службою геології та надр У</w:t>
      </w:r>
      <w:r w:rsidR="003E4CFD">
        <w:rPr>
          <w:sz w:val="26"/>
          <w:szCs w:val="26"/>
          <w:lang w:val="uk-UA"/>
        </w:rPr>
        <w:t>к</w:t>
      </w:r>
      <w:bookmarkStart w:id="19" w:name="_GoBack"/>
      <w:bookmarkEnd w:id="19"/>
      <w:r w:rsidRPr="00C96347">
        <w:rPr>
          <w:sz w:val="26"/>
          <w:szCs w:val="26"/>
          <w:lang w:val="uk-UA"/>
        </w:rPr>
        <w:t>раїни шляхом розгляду пропозицій та зауважень, які надійдуть до нього.</w:t>
      </w:r>
    </w:p>
    <w:p w:rsidR="00441164" w:rsidRPr="00C96347" w:rsidRDefault="00441164" w:rsidP="00FA7487">
      <w:pPr>
        <w:widowControl w:val="0"/>
        <w:tabs>
          <w:tab w:val="left" w:pos="990"/>
        </w:tabs>
        <w:ind w:left="270" w:firstLine="720"/>
        <w:jc w:val="both"/>
        <w:rPr>
          <w:sz w:val="26"/>
          <w:szCs w:val="26"/>
          <w:lang w:val="uk-UA"/>
        </w:rPr>
      </w:pPr>
    </w:p>
    <w:p w:rsidR="00E12DE1" w:rsidRPr="00C96347" w:rsidRDefault="00E12DE1" w:rsidP="00FA7487">
      <w:pPr>
        <w:widowControl w:val="0"/>
        <w:tabs>
          <w:tab w:val="left" w:pos="990"/>
        </w:tabs>
        <w:ind w:left="270" w:firstLine="720"/>
        <w:jc w:val="both"/>
        <w:rPr>
          <w:sz w:val="26"/>
          <w:szCs w:val="26"/>
          <w:lang w:val="uk-UA"/>
        </w:rPr>
      </w:pPr>
    </w:p>
    <w:p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F3" w:rsidRDefault="00416FF3">
      <w:r>
        <w:separator/>
      </w:r>
    </w:p>
  </w:endnote>
  <w:endnote w:type="continuationSeparator" w:id="0">
    <w:p w:rsidR="00416FF3" w:rsidRDefault="004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F3" w:rsidRDefault="00416FF3">
      <w:r>
        <w:separator/>
      </w:r>
    </w:p>
  </w:footnote>
  <w:footnote w:type="continuationSeparator" w:id="0">
    <w:p w:rsidR="00416FF3" w:rsidRDefault="0041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3E4CFD">
      <w:rPr>
        <w:rStyle w:val="ab"/>
        <w:noProof/>
      </w:rPr>
      <w:t>13</w:t>
    </w:r>
    <w:r w:rsidRPr="004210EE">
      <w:rPr>
        <w:rStyle w:val="ab"/>
      </w:rPr>
      <w:fldChar w:fldCharType="end"/>
    </w:r>
  </w:p>
  <w:p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3F0B"/>
    <w:rsid w:val="001D1FCD"/>
    <w:rsid w:val="001D579C"/>
    <w:rsid w:val="001D7A3C"/>
    <w:rsid w:val="001D7F76"/>
    <w:rsid w:val="001E0172"/>
    <w:rsid w:val="001E3E4D"/>
    <w:rsid w:val="001E4E01"/>
    <w:rsid w:val="001E5D2E"/>
    <w:rsid w:val="001E6BAC"/>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4CFD"/>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16FF3"/>
    <w:rsid w:val="00420807"/>
    <w:rsid w:val="004210EE"/>
    <w:rsid w:val="004224D9"/>
    <w:rsid w:val="0042714A"/>
    <w:rsid w:val="00431304"/>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60FF"/>
    <w:rsid w:val="00506E3E"/>
    <w:rsid w:val="00510C52"/>
    <w:rsid w:val="00511A92"/>
    <w:rsid w:val="00511EDD"/>
    <w:rsid w:val="00512514"/>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C216F"/>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EC0A9"/>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E4A8-9193-4CC2-8452-8045D846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3400</Words>
  <Characters>19383</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91</cp:revision>
  <cp:lastPrinted>2021-10-01T10:50:00Z</cp:lastPrinted>
  <dcterms:created xsi:type="dcterms:W3CDTF">2021-08-05T08:28:00Z</dcterms:created>
  <dcterms:modified xsi:type="dcterms:W3CDTF">2022-02-18T12:03:00Z</dcterms:modified>
</cp:coreProperties>
</file>